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43" w:rsidRPr="007E4006" w:rsidRDefault="00082243" w:rsidP="00D274BB">
      <w:pPr>
        <w:spacing w:line="240" w:lineRule="auto"/>
        <w:jc w:val="right"/>
        <w:rPr>
          <w:rFonts w:ascii="Times New Roman" w:hAnsi="Times New Roman"/>
          <w:sz w:val="20"/>
        </w:rPr>
      </w:pPr>
      <w:r w:rsidRPr="007E4006">
        <w:rPr>
          <w:rFonts w:ascii="Times New Roman" w:hAnsi="Times New Roman"/>
          <w:sz w:val="20"/>
        </w:rPr>
        <w:t xml:space="preserve">Утверждены </w:t>
      </w:r>
    </w:p>
    <w:p w:rsidR="00082243" w:rsidRPr="007E4006" w:rsidRDefault="00851918" w:rsidP="00D274BB">
      <w:pPr>
        <w:spacing w:line="240" w:lineRule="auto"/>
        <w:jc w:val="right"/>
        <w:rPr>
          <w:rFonts w:ascii="Times New Roman" w:hAnsi="Times New Roman"/>
          <w:sz w:val="20"/>
        </w:rPr>
      </w:pPr>
      <w:r w:rsidRPr="007E4006">
        <w:rPr>
          <w:rFonts w:ascii="Times New Roman" w:hAnsi="Times New Roman"/>
          <w:sz w:val="20"/>
        </w:rPr>
        <w:t>п</w:t>
      </w:r>
      <w:r w:rsidR="00082243" w:rsidRPr="007E4006">
        <w:rPr>
          <w:rFonts w:ascii="Times New Roman" w:hAnsi="Times New Roman"/>
          <w:sz w:val="20"/>
        </w:rPr>
        <w:t xml:space="preserve">риказом Генерального директора </w:t>
      </w:r>
    </w:p>
    <w:p w:rsidR="00082243" w:rsidRPr="007E4006" w:rsidRDefault="009C3D37" w:rsidP="00D274BB">
      <w:pPr>
        <w:spacing w:line="240" w:lineRule="auto"/>
        <w:jc w:val="right"/>
        <w:rPr>
          <w:rFonts w:ascii="Times New Roman" w:hAnsi="Times New Roman"/>
          <w:sz w:val="20"/>
        </w:rPr>
      </w:pPr>
      <w:r>
        <w:rPr>
          <w:rFonts w:ascii="Times New Roman" w:hAnsi="Times New Roman"/>
          <w:sz w:val="20"/>
        </w:rPr>
        <w:t>ООО «КБФ УА»</w:t>
      </w:r>
    </w:p>
    <w:p w:rsidR="009170FE" w:rsidRPr="00177EB6" w:rsidRDefault="009170FE" w:rsidP="009170FE">
      <w:pPr>
        <w:spacing w:line="240" w:lineRule="auto"/>
        <w:jc w:val="right"/>
        <w:rPr>
          <w:rFonts w:ascii="Times New Roman" w:hAnsi="Times New Roman"/>
          <w:b/>
          <w:sz w:val="24"/>
          <w:szCs w:val="24"/>
        </w:rPr>
      </w:pPr>
      <w:r w:rsidRPr="00D77C07">
        <w:rPr>
          <w:rFonts w:ascii="Times New Roman" w:hAnsi="Times New Roman"/>
          <w:sz w:val="20"/>
        </w:rPr>
        <w:t xml:space="preserve">от </w:t>
      </w:r>
      <w:r w:rsidR="00A56D72">
        <w:rPr>
          <w:rFonts w:ascii="Times New Roman" w:hAnsi="Times New Roman"/>
          <w:sz w:val="20"/>
        </w:rPr>
        <w:t>30.10.2019</w:t>
      </w:r>
      <w:r w:rsidRPr="00D77C07">
        <w:rPr>
          <w:rFonts w:ascii="Times New Roman" w:hAnsi="Times New Roman"/>
          <w:sz w:val="20"/>
        </w:rPr>
        <w:t xml:space="preserve"> № </w:t>
      </w:r>
      <w:r w:rsidR="00A56D72">
        <w:rPr>
          <w:rFonts w:ascii="Times New Roman" w:hAnsi="Times New Roman"/>
          <w:sz w:val="20"/>
        </w:rPr>
        <w:t>12</w:t>
      </w:r>
      <w:r w:rsidRPr="00D77C07">
        <w:rPr>
          <w:rFonts w:ascii="Times New Roman" w:hAnsi="Times New Roman"/>
          <w:sz w:val="20"/>
        </w:rPr>
        <w:t>/19-Ф</w:t>
      </w:r>
    </w:p>
    <w:p w:rsidR="00082243" w:rsidRPr="00D274BB" w:rsidRDefault="00082243" w:rsidP="00D274BB">
      <w:pPr>
        <w:spacing w:line="240" w:lineRule="auto"/>
        <w:jc w:val="right"/>
        <w:rPr>
          <w:rFonts w:ascii="Times New Roman" w:hAnsi="Times New Roman"/>
          <w:b/>
          <w:sz w:val="24"/>
          <w:szCs w:val="24"/>
        </w:rPr>
      </w:pPr>
    </w:p>
    <w:p w:rsidR="009C3D37" w:rsidRDefault="00115C9F" w:rsidP="00D274BB">
      <w:pPr>
        <w:pStyle w:val="ConsPlusNormal"/>
        <w:ind w:right="-159" w:firstLine="540"/>
        <w:jc w:val="center"/>
        <w:rPr>
          <w:rFonts w:ascii="Times New Roman" w:hAnsi="Times New Roman" w:cs="Times New Roman"/>
          <w:b/>
          <w:sz w:val="22"/>
          <w:szCs w:val="22"/>
        </w:rPr>
      </w:pPr>
      <w:r w:rsidRPr="007E4006">
        <w:rPr>
          <w:rFonts w:ascii="Times New Roman" w:hAnsi="Times New Roman" w:cs="Times New Roman"/>
          <w:b/>
          <w:sz w:val="22"/>
          <w:szCs w:val="22"/>
        </w:rPr>
        <w:t>Изменения и дополнения</w:t>
      </w:r>
      <w:r w:rsidR="00A61034" w:rsidRPr="007E4006">
        <w:rPr>
          <w:rFonts w:ascii="Times New Roman" w:hAnsi="Times New Roman" w:cs="Times New Roman"/>
          <w:b/>
          <w:sz w:val="22"/>
          <w:szCs w:val="22"/>
        </w:rPr>
        <w:t xml:space="preserve"> </w:t>
      </w:r>
      <w:r w:rsidRPr="007E4006">
        <w:rPr>
          <w:rFonts w:ascii="Times New Roman" w:hAnsi="Times New Roman" w:cs="Times New Roman"/>
          <w:b/>
          <w:sz w:val="22"/>
          <w:szCs w:val="22"/>
        </w:rPr>
        <w:t xml:space="preserve">в Правила доверительного управления </w:t>
      </w:r>
    </w:p>
    <w:p w:rsidR="00A451F2" w:rsidRPr="00A451F2"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 xml:space="preserve">Открытым паевым инвестиционным фондом </w:t>
      </w:r>
    </w:p>
    <w:p w:rsidR="00A451F2" w:rsidRPr="00A451F2"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рыночных финансовых инструментов</w:t>
      </w:r>
    </w:p>
    <w:p w:rsidR="00115C9F" w:rsidRPr="007E4006"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 xml:space="preserve">«КьюБиЭф </w:t>
      </w:r>
      <w:r w:rsidR="00F37791">
        <w:rPr>
          <w:rFonts w:ascii="Times New Roman" w:hAnsi="Times New Roman" w:cs="Times New Roman"/>
          <w:b/>
          <w:sz w:val="22"/>
          <w:szCs w:val="22"/>
        </w:rPr>
        <w:t>Технологии будущего</w:t>
      </w:r>
      <w:r w:rsidRPr="00A451F2">
        <w:rPr>
          <w:rFonts w:ascii="Times New Roman" w:hAnsi="Times New Roman" w:cs="Times New Roman"/>
          <w:b/>
          <w:sz w:val="22"/>
          <w:szCs w:val="22"/>
        </w:rPr>
        <w:t>»</w:t>
      </w:r>
      <w:r w:rsidR="003871D3" w:rsidRPr="007E4006">
        <w:rPr>
          <w:rFonts w:ascii="Times New Roman" w:hAnsi="Times New Roman" w:cs="Times New Roman"/>
          <w:b/>
          <w:sz w:val="22"/>
          <w:szCs w:val="22"/>
        </w:rPr>
        <w:t xml:space="preserve"> № </w:t>
      </w:r>
      <w:r w:rsidR="00F37791">
        <w:rPr>
          <w:rFonts w:ascii="Times New Roman" w:hAnsi="Times New Roman" w:cs="Times New Roman"/>
          <w:b/>
          <w:sz w:val="22"/>
          <w:szCs w:val="22"/>
        </w:rPr>
        <w:t>2</w:t>
      </w:r>
    </w:p>
    <w:p w:rsidR="00115C9F" w:rsidRPr="007E4006" w:rsidRDefault="00115C9F" w:rsidP="00D274BB">
      <w:pPr>
        <w:pStyle w:val="ConsPlusNormal"/>
        <w:ind w:right="-159" w:firstLine="0"/>
        <w:jc w:val="center"/>
        <w:rPr>
          <w:rFonts w:ascii="Times New Roman" w:hAnsi="Times New Roman" w:cs="Times New Roman"/>
          <w:b/>
          <w:sz w:val="22"/>
          <w:szCs w:val="22"/>
        </w:rPr>
      </w:pPr>
      <w:r w:rsidRPr="007E4006">
        <w:rPr>
          <w:rFonts w:ascii="Times New Roman" w:hAnsi="Times New Roman" w:cs="Times New Roman"/>
          <w:b/>
          <w:sz w:val="22"/>
          <w:szCs w:val="22"/>
        </w:rPr>
        <w:t>(Правила зарегистрированы</w:t>
      </w:r>
      <w:r w:rsidR="00936334" w:rsidRPr="007E4006">
        <w:rPr>
          <w:rFonts w:ascii="Times New Roman" w:hAnsi="Times New Roman" w:cs="Times New Roman"/>
          <w:b/>
          <w:sz w:val="22"/>
          <w:szCs w:val="22"/>
        </w:rPr>
        <w:t xml:space="preserve"> </w:t>
      </w:r>
      <w:r w:rsidR="009C3D37">
        <w:rPr>
          <w:rFonts w:ascii="Times New Roman" w:hAnsi="Times New Roman" w:cs="Times New Roman"/>
          <w:b/>
          <w:sz w:val="22"/>
          <w:szCs w:val="22"/>
        </w:rPr>
        <w:t>Банком России</w:t>
      </w:r>
      <w:r w:rsidR="003871D3" w:rsidRPr="007E4006">
        <w:rPr>
          <w:rFonts w:ascii="Times New Roman" w:hAnsi="Times New Roman" w:cs="Times New Roman"/>
          <w:b/>
          <w:sz w:val="22"/>
          <w:szCs w:val="22"/>
        </w:rPr>
        <w:t xml:space="preserve"> за № </w:t>
      </w:r>
      <w:r w:rsidR="00F37791">
        <w:rPr>
          <w:rFonts w:ascii="Times New Roman" w:hAnsi="Times New Roman" w:cs="Times New Roman"/>
          <w:b/>
          <w:sz w:val="22"/>
          <w:szCs w:val="22"/>
        </w:rPr>
        <w:t>3546</w:t>
      </w:r>
      <w:r w:rsidR="003871D3" w:rsidRPr="007E4006">
        <w:rPr>
          <w:rFonts w:ascii="Times New Roman" w:hAnsi="Times New Roman" w:cs="Times New Roman"/>
          <w:b/>
          <w:sz w:val="22"/>
          <w:szCs w:val="22"/>
        </w:rPr>
        <w:t xml:space="preserve"> от </w:t>
      </w:r>
      <w:r w:rsidR="00F37791" w:rsidRPr="00F37791">
        <w:rPr>
          <w:rFonts w:ascii="Times New Roman" w:hAnsi="Times New Roman" w:cs="Times New Roman"/>
          <w:b/>
          <w:sz w:val="22"/>
          <w:szCs w:val="22"/>
        </w:rPr>
        <w:t>02.08.2018</w:t>
      </w:r>
      <w:r w:rsidRPr="007E4006">
        <w:rPr>
          <w:rFonts w:ascii="Times New Roman" w:hAnsi="Times New Roman" w:cs="Times New Roman"/>
          <w:b/>
          <w:sz w:val="22"/>
          <w:szCs w:val="22"/>
        </w:rPr>
        <w:t>)</w:t>
      </w:r>
    </w:p>
    <w:p w:rsidR="0024601A" w:rsidRPr="00D274BB" w:rsidRDefault="0024601A" w:rsidP="00D274BB">
      <w:pPr>
        <w:pStyle w:val="ConsPlusNormal"/>
        <w:ind w:firstLine="0"/>
        <w:jc w:val="center"/>
        <w:rPr>
          <w:rFonts w:ascii="Times New Roman" w:hAnsi="Times New Roman" w:cs="Times New Roman"/>
          <w:b/>
          <w:sz w:val="24"/>
          <w:szCs w:val="24"/>
        </w:rPr>
      </w:pPr>
    </w:p>
    <w:tbl>
      <w:tblPr>
        <w:tblStyle w:val="a3"/>
        <w:tblW w:w="0" w:type="auto"/>
        <w:tblLook w:val="04A0"/>
      </w:tblPr>
      <w:tblGrid>
        <w:gridCol w:w="4785"/>
        <w:gridCol w:w="4785"/>
      </w:tblGrid>
      <w:tr w:rsidR="006D4385" w:rsidRPr="007E4006" w:rsidTr="003E7696">
        <w:tc>
          <w:tcPr>
            <w:tcW w:w="4785" w:type="dxa"/>
          </w:tcPr>
          <w:p w:rsidR="006D4385" w:rsidRPr="007E4006" w:rsidRDefault="006D4385" w:rsidP="00430423">
            <w:pPr>
              <w:widowControl w:val="0"/>
              <w:autoSpaceDE w:val="0"/>
              <w:autoSpaceDN w:val="0"/>
              <w:adjustRightInd w:val="0"/>
              <w:spacing w:line="240" w:lineRule="auto"/>
              <w:jc w:val="center"/>
              <w:rPr>
                <w:rFonts w:ascii="Times New Roman" w:hAnsi="Times New Roman"/>
                <w:b/>
                <w:sz w:val="20"/>
              </w:rPr>
            </w:pPr>
            <w:r w:rsidRPr="007E4006">
              <w:rPr>
                <w:rFonts w:ascii="Times New Roman" w:hAnsi="Times New Roman"/>
                <w:b/>
                <w:sz w:val="20"/>
              </w:rPr>
              <w:t>Старая редакция</w:t>
            </w:r>
          </w:p>
        </w:tc>
        <w:tc>
          <w:tcPr>
            <w:tcW w:w="4785" w:type="dxa"/>
          </w:tcPr>
          <w:p w:rsidR="006D4385" w:rsidRPr="007E4006" w:rsidRDefault="006D4385" w:rsidP="00430423">
            <w:pPr>
              <w:widowControl w:val="0"/>
              <w:autoSpaceDE w:val="0"/>
              <w:autoSpaceDN w:val="0"/>
              <w:adjustRightInd w:val="0"/>
              <w:spacing w:line="240" w:lineRule="auto"/>
              <w:jc w:val="center"/>
              <w:rPr>
                <w:rFonts w:ascii="Times New Roman" w:hAnsi="Times New Roman"/>
                <w:b/>
                <w:sz w:val="20"/>
              </w:rPr>
            </w:pPr>
            <w:r w:rsidRPr="007E4006">
              <w:rPr>
                <w:rFonts w:ascii="Times New Roman" w:hAnsi="Times New Roman"/>
                <w:b/>
                <w:sz w:val="20"/>
              </w:rPr>
              <w:t>Новая редакция</w:t>
            </w:r>
          </w:p>
        </w:tc>
      </w:tr>
      <w:tr w:rsidR="006B0E9E" w:rsidRPr="007E4006" w:rsidTr="003E7696">
        <w:tc>
          <w:tcPr>
            <w:tcW w:w="4785" w:type="dxa"/>
          </w:tcPr>
          <w:p w:rsidR="006B0E9E" w:rsidRPr="00B27590" w:rsidRDefault="006B0E9E" w:rsidP="006B0E9E">
            <w:pPr>
              <w:pStyle w:val="ConsPlusNormal"/>
              <w:adjustRightInd/>
              <w:ind w:firstLine="284"/>
              <w:jc w:val="both"/>
              <w:rPr>
                <w:rFonts w:ascii="Times New Roman" w:hAnsi="Times New Roman" w:cs="Times New Roman"/>
              </w:rPr>
            </w:pPr>
            <w:r w:rsidRPr="006B0E9E">
              <w:rPr>
                <w:rFonts w:ascii="Times New Roman" w:hAnsi="Times New Roman" w:cs="Times New Roman"/>
              </w:rPr>
              <w:t>5.</w:t>
            </w:r>
            <w:r w:rsidRPr="006B0E9E">
              <w:rPr>
                <w:rFonts w:ascii="Times New Roman" w:hAnsi="Times New Roman" w:cs="Times New Roman"/>
              </w:rPr>
              <w:tab/>
              <w:t>Место нахождения управляющей компании: 123112, Российская Федерация, город Москва, Пресненская набережная, дом 8, строение 1, этаж 12, пом. 1.</w:t>
            </w:r>
          </w:p>
        </w:tc>
        <w:tc>
          <w:tcPr>
            <w:tcW w:w="4785" w:type="dxa"/>
          </w:tcPr>
          <w:p w:rsidR="006B0E9E" w:rsidRPr="00B27590" w:rsidRDefault="006B0E9E" w:rsidP="00B27590">
            <w:pPr>
              <w:pStyle w:val="ConsPlusNormal"/>
              <w:jc w:val="both"/>
              <w:rPr>
                <w:rFonts w:ascii="Times New Roman" w:hAnsi="Times New Roman" w:cs="Times New Roman"/>
              </w:rPr>
            </w:pPr>
            <w:r w:rsidRPr="006B0E9E">
              <w:rPr>
                <w:rFonts w:ascii="Times New Roman" w:hAnsi="Times New Roman" w:cs="Times New Roman"/>
              </w:rPr>
              <w:t>5.</w:t>
            </w:r>
            <w:r w:rsidRPr="006B0E9E">
              <w:rPr>
                <w:rFonts w:ascii="Times New Roman" w:hAnsi="Times New Roman" w:cs="Times New Roman"/>
              </w:rPr>
              <w:tab/>
              <w:t>Место нахождения управляющей компании: 123112, Российская Федерация, город Москва, Пресненская набережная, дом 8, строение 1, этаж 11, пом. IN, ком. 11.</w:t>
            </w:r>
          </w:p>
        </w:tc>
      </w:tr>
      <w:tr w:rsidR="00CA3401" w:rsidRPr="007E4006" w:rsidTr="003E7696">
        <w:tc>
          <w:tcPr>
            <w:tcW w:w="4785" w:type="dxa"/>
          </w:tcPr>
          <w:p w:rsidR="00F37791" w:rsidRPr="00B27590" w:rsidRDefault="00F37791" w:rsidP="00783983">
            <w:pPr>
              <w:pStyle w:val="ConsPlusNormal"/>
              <w:numPr>
                <w:ilvl w:val="1"/>
                <w:numId w:val="42"/>
              </w:numPr>
              <w:adjustRightInd/>
              <w:ind w:left="0" w:firstLine="284"/>
              <w:jc w:val="both"/>
              <w:rPr>
                <w:rFonts w:ascii="Times New Roman" w:hAnsi="Times New Roman" w:cs="Times New Roman"/>
              </w:rPr>
            </w:pPr>
            <w:r w:rsidRPr="00B27590">
              <w:rPr>
                <w:rFonts w:ascii="Times New Roman" w:hAnsi="Times New Roman" w:cs="Times New Roman"/>
              </w:rPr>
              <w:t xml:space="preserve">Под активами, указанными в подпункте </w:t>
            </w:r>
            <w:r w:rsidR="005C04E7" w:rsidRPr="005C04E7">
              <w:rPr>
                <w:rFonts w:ascii="Times New Roman" w:hAnsi="Times New Roman" w:cs="Times New Roman"/>
              </w:rPr>
              <w:t xml:space="preserve">подпункте 1) пункта 22.1 </w:t>
            </w:r>
            <w:r w:rsidRPr="00B27590">
              <w:rPr>
                <w:rFonts w:ascii="Times New Roman" w:hAnsi="Times New Roman" w:cs="Times New Roman"/>
              </w:rPr>
              <w:t>настоящих правил понимаются:</w:t>
            </w:r>
          </w:p>
          <w:p w:rsidR="00F37791" w:rsidRPr="00B27590" w:rsidRDefault="00F37791" w:rsidP="00F37791">
            <w:pPr>
              <w:pStyle w:val="af4"/>
              <w:numPr>
                <w:ilvl w:val="1"/>
                <w:numId w:val="43"/>
              </w:numPr>
              <w:autoSpaceDE w:val="0"/>
              <w:autoSpaceDN w:val="0"/>
              <w:adjustRightInd w:val="0"/>
              <w:spacing w:after="0" w:line="240" w:lineRule="auto"/>
              <w:ind w:left="0" w:firstLine="284"/>
              <w:jc w:val="both"/>
              <w:rPr>
                <w:rFonts w:ascii="Times New Roman" w:hAnsi="Times New Roman"/>
                <w:sz w:val="20"/>
                <w:szCs w:val="20"/>
              </w:rPr>
            </w:pPr>
            <w:bookmarkStart w:id="0" w:name="_Ref475014921"/>
            <w:r w:rsidRPr="00B27590">
              <w:rPr>
                <w:rFonts w:ascii="Times New Roman" w:hAnsi="Times New Roman"/>
                <w:sz w:val="20"/>
                <w:szCs w:val="20"/>
              </w:rPr>
              <w:t>акции и облигации российских хозяйственных обществ;</w:t>
            </w:r>
            <w:bookmarkEnd w:id="0"/>
          </w:p>
          <w:p w:rsidR="00F37791" w:rsidRPr="00B27590" w:rsidRDefault="00F37791" w:rsidP="00F37791">
            <w:pPr>
              <w:pStyle w:val="af4"/>
              <w:numPr>
                <w:ilvl w:val="1"/>
                <w:numId w:val="43"/>
              </w:numPr>
              <w:autoSpaceDE w:val="0"/>
              <w:autoSpaceDN w:val="0"/>
              <w:adjustRightInd w:val="0"/>
              <w:spacing w:after="0" w:line="240" w:lineRule="auto"/>
              <w:ind w:left="0" w:firstLine="284"/>
              <w:jc w:val="both"/>
              <w:rPr>
                <w:rFonts w:ascii="Times New Roman" w:hAnsi="Times New Roman"/>
                <w:sz w:val="20"/>
                <w:szCs w:val="20"/>
              </w:rPr>
            </w:pPr>
            <w:bookmarkStart w:id="1" w:name="_Ref475014952"/>
            <w:r w:rsidRPr="00B27590">
              <w:rPr>
                <w:rFonts w:ascii="Times New Roman" w:hAnsi="Times New Roman"/>
                <w:sz w:val="20"/>
                <w:szCs w:val="20"/>
              </w:rPr>
              <w:t>государственные ценные бумаги субъектов Российской Федерации и муниципальные ценные бумаги;</w:t>
            </w:r>
            <w:bookmarkEnd w:id="1"/>
          </w:p>
          <w:p w:rsidR="00F37791" w:rsidRPr="00B27590" w:rsidRDefault="00F37791" w:rsidP="00F37791">
            <w:pPr>
              <w:pStyle w:val="af4"/>
              <w:numPr>
                <w:ilvl w:val="1"/>
                <w:numId w:val="43"/>
              </w:numPr>
              <w:autoSpaceDE w:val="0"/>
              <w:autoSpaceDN w:val="0"/>
              <w:adjustRightInd w:val="0"/>
              <w:spacing w:after="0" w:line="240" w:lineRule="auto"/>
              <w:ind w:left="0" w:firstLine="284"/>
              <w:jc w:val="both"/>
              <w:rPr>
                <w:rFonts w:ascii="Times New Roman" w:hAnsi="Times New Roman"/>
                <w:sz w:val="20"/>
                <w:szCs w:val="20"/>
              </w:rPr>
            </w:pPr>
            <w:bookmarkStart w:id="2" w:name="_Ref475014965"/>
            <w:r w:rsidRPr="00B27590">
              <w:rPr>
                <w:rFonts w:ascii="Times New Roman" w:hAnsi="Times New Roman"/>
                <w:sz w:val="20"/>
                <w:szCs w:val="20"/>
              </w:rPr>
              <w:t>облигации иностранных коммерческих организаций и международных финансовых организаций;</w:t>
            </w:r>
            <w:bookmarkEnd w:id="2"/>
          </w:p>
          <w:p w:rsidR="00F37791" w:rsidRPr="00B27590" w:rsidRDefault="00F37791" w:rsidP="00F37791">
            <w:pPr>
              <w:pStyle w:val="af4"/>
              <w:numPr>
                <w:ilvl w:val="1"/>
                <w:numId w:val="43"/>
              </w:numPr>
              <w:autoSpaceDE w:val="0"/>
              <w:autoSpaceDN w:val="0"/>
              <w:adjustRightInd w:val="0"/>
              <w:spacing w:after="0" w:line="240" w:lineRule="auto"/>
              <w:ind w:left="0" w:firstLine="284"/>
              <w:jc w:val="both"/>
              <w:rPr>
                <w:rFonts w:ascii="Times New Roman" w:hAnsi="Times New Roman"/>
                <w:sz w:val="20"/>
                <w:szCs w:val="20"/>
              </w:rPr>
            </w:pPr>
            <w:r w:rsidRPr="00B27590">
              <w:rPr>
                <w:rFonts w:ascii="Times New Roman" w:hAnsi="Times New Roman"/>
                <w:sz w:val="20"/>
                <w:szCs w:val="20"/>
              </w:rPr>
              <w:t>акции иностранных акционерных обществ;</w:t>
            </w:r>
          </w:p>
          <w:p w:rsidR="00F37791" w:rsidRPr="00B27590" w:rsidRDefault="00F37791" w:rsidP="00F37791">
            <w:pPr>
              <w:pStyle w:val="af4"/>
              <w:numPr>
                <w:ilvl w:val="1"/>
                <w:numId w:val="43"/>
              </w:numPr>
              <w:autoSpaceDE w:val="0"/>
              <w:autoSpaceDN w:val="0"/>
              <w:adjustRightInd w:val="0"/>
              <w:spacing w:after="0" w:line="240" w:lineRule="auto"/>
              <w:ind w:left="0" w:firstLine="284"/>
              <w:jc w:val="both"/>
              <w:rPr>
                <w:rFonts w:ascii="Times New Roman" w:hAnsi="Times New Roman"/>
                <w:sz w:val="20"/>
                <w:szCs w:val="20"/>
              </w:rPr>
            </w:pPr>
            <w:r w:rsidRPr="00B27590">
              <w:rPr>
                <w:rFonts w:ascii="Times New Roman" w:hAnsi="Times New Roman"/>
                <w:sz w:val="20"/>
                <w:szCs w:val="20"/>
              </w:rPr>
              <w:t>- инвестиционные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rsidR="00F37791" w:rsidRPr="00B27590" w:rsidRDefault="00F37791" w:rsidP="00F37791">
            <w:pPr>
              <w:pStyle w:val="af4"/>
              <w:numPr>
                <w:ilvl w:val="2"/>
                <w:numId w:val="43"/>
              </w:numPr>
              <w:autoSpaceDE w:val="0"/>
              <w:autoSpaceDN w:val="0"/>
              <w:adjustRightInd w:val="0"/>
              <w:spacing w:after="0" w:line="240" w:lineRule="auto"/>
              <w:ind w:left="0" w:firstLine="567"/>
              <w:jc w:val="both"/>
              <w:rPr>
                <w:rFonts w:ascii="Times New Roman" w:hAnsi="Times New Roman"/>
                <w:sz w:val="20"/>
                <w:szCs w:val="20"/>
              </w:rPr>
            </w:pPr>
            <w:bookmarkStart w:id="3" w:name="_Hlk533610572"/>
            <w:r w:rsidRPr="00B27590">
              <w:rPr>
                <w:rFonts w:ascii="Times New Roman" w:hAnsi="Times New Roman"/>
                <w:sz w:val="20"/>
                <w:szCs w:val="20"/>
              </w:rPr>
              <w:t>инвестиционные</w:t>
            </w:r>
            <w:bookmarkEnd w:id="3"/>
            <w:r w:rsidRPr="00B27590">
              <w:rPr>
                <w:rFonts w:ascii="Times New Roman" w:hAnsi="Times New Roman"/>
                <w:sz w:val="20"/>
                <w:szCs w:val="20"/>
              </w:rPr>
              <w:t xml:space="preserve"> паи (акции) иностранных инвестиционных фондов, если код CFI имеет следующее значение: первая буква имеет значение «C», вторая буква имеет значение «H» или «E», третья буква имеет значение «O», «М» или «X», при условии, что шестая буква имеет значение «Х»;</w:t>
            </w:r>
          </w:p>
          <w:p w:rsidR="00F37791" w:rsidRPr="00B27590" w:rsidRDefault="00F37791" w:rsidP="00F37791">
            <w:pPr>
              <w:pStyle w:val="af4"/>
              <w:numPr>
                <w:ilvl w:val="2"/>
                <w:numId w:val="43"/>
              </w:numPr>
              <w:autoSpaceDE w:val="0"/>
              <w:autoSpaceDN w:val="0"/>
              <w:adjustRightInd w:val="0"/>
              <w:spacing w:after="0" w:line="240" w:lineRule="auto"/>
              <w:ind w:left="0" w:firstLine="567"/>
              <w:jc w:val="both"/>
              <w:rPr>
                <w:rFonts w:ascii="Times New Roman" w:hAnsi="Times New Roman"/>
                <w:sz w:val="20"/>
                <w:szCs w:val="20"/>
              </w:rPr>
            </w:pPr>
            <w:r w:rsidRPr="00B27590">
              <w:rPr>
                <w:rFonts w:ascii="Times New Roman" w:hAnsi="Times New Roman"/>
                <w:sz w:val="20"/>
                <w:szCs w:val="20"/>
              </w:rPr>
              <w:t>инвестиционные паи иностранных инвестиционных фондов, если код CFI имеет следующее значение: первая буква имеет значение «C», вторая буква имеет значение «I», или «E», или «B», или «F», или «Р», или «H», или «M», третья буква имеет значение «O», или «C», или «M», или «Х», пятая буква имеет значение «B», или «С», или «D», или «E», или «L», или «М», или «Х», или «V», при условии, что шестая буква имеет значение «U» или «Y»;</w:t>
            </w:r>
          </w:p>
          <w:p w:rsidR="00F37791" w:rsidRPr="00B27590" w:rsidRDefault="00F37791" w:rsidP="00F37791">
            <w:pPr>
              <w:pStyle w:val="af4"/>
              <w:numPr>
                <w:ilvl w:val="2"/>
                <w:numId w:val="43"/>
              </w:numPr>
              <w:autoSpaceDE w:val="0"/>
              <w:autoSpaceDN w:val="0"/>
              <w:adjustRightInd w:val="0"/>
              <w:spacing w:after="0" w:line="240" w:lineRule="auto"/>
              <w:ind w:left="0" w:firstLine="567"/>
              <w:jc w:val="both"/>
              <w:rPr>
                <w:rFonts w:ascii="Times New Roman" w:hAnsi="Times New Roman"/>
                <w:sz w:val="20"/>
                <w:szCs w:val="20"/>
              </w:rPr>
            </w:pPr>
            <w:r w:rsidRPr="00B27590">
              <w:rPr>
                <w:rFonts w:ascii="Times New Roman" w:hAnsi="Times New Roman"/>
                <w:sz w:val="20"/>
                <w:szCs w:val="20"/>
              </w:rPr>
              <w:t>акции иностранных инвестиционных фондов, если первая буква имеет значение «C», вторая буква - значение «I», или «H», или «E», или «B», или «F», или «Р», или «M», третья буква - значение «O», или «C», или «M», или «Х», пятая буква имеет значение «B», или «С», или «D», или «E», или «L», или «М», или «Х», или «V», при условии, что шестая буква имеет значение «S» или «Q»;</w:t>
            </w:r>
          </w:p>
          <w:p w:rsidR="00F37791" w:rsidRPr="00B27590" w:rsidRDefault="00F37791" w:rsidP="00F37791">
            <w:pPr>
              <w:pStyle w:val="af4"/>
              <w:numPr>
                <w:ilvl w:val="1"/>
                <w:numId w:val="43"/>
              </w:numPr>
              <w:autoSpaceDE w:val="0"/>
              <w:autoSpaceDN w:val="0"/>
              <w:adjustRightInd w:val="0"/>
              <w:spacing w:after="0" w:line="240" w:lineRule="auto"/>
              <w:ind w:left="0" w:firstLine="284"/>
              <w:jc w:val="both"/>
              <w:rPr>
                <w:rFonts w:ascii="Times New Roman" w:hAnsi="Times New Roman"/>
                <w:sz w:val="20"/>
                <w:szCs w:val="20"/>
              </w:rPr>
            </w:pPr>
            <w:r w:rsidRPr="00B27590">
              <w:rPr>
                <w:rFonts w:ascii="Times New Roman" w:hAnsi="Times New Roman"/>
                <w:sz w:val="20"/>
                <w:szCs w:val="20"/>
              </w:rPr>
              <w:t xml:space="preserve">ипотечные ценные бумаги, выпущенные в соответствии с законодательством Российской </w:t>
            </w:r>
            <w:r w:rsidRPr="00B27590">
              <w:rPr>
                <w:rFonts w:ascii="Times New Roman" w:hAnsi="Times New Roman"/>
                <w:sz w:val="20"/>
                <w:szCs w:val="20"/>
              </w:rPr>
              <w:lastRenderedPageBreak/>
              <w:t>Федерации об ипотечных ценных бумагах;</w:t>
            </w:r>
          </w:p>
          <w:p w:rsidR="00F37791" w:rsidRPr="00B27590" w:rsidRDefault="00F37791" w:rsidP="00F37791">
            <w:pPr>
              <w:pStyle w:val="af4"/>
              <w:numPr>
                <w:ilvl w:val="1"/>
                <w:numId w:val="43"/>
              </w:numPr>
              <w:autoSpaceDE w:val="0"/>
              <w:autoSpaceDN w:val="0"/>
              <w:adjustRightInd w:val="0"/>
              <w:spacing w:after="0" w:line="240" w:lineRule="auto"/>
              <w:ind w:left="0" w:firstLine="284"/>
              <w:jc w:val="both"/>
              <w:rPr>
                <w:rFonts w:ascii="Times New Roman" w:hAnsi="Times New Roman"/>
                <w:sz w:val="20"/>
                <w:szCs w:val="20"/>
              </w:rPr>
            </w:pPr>
            <w:r w:rsidRPr="00B27590">
              <w:rPr>
                <w:rFonts w:ascii="Times New Roman" w:hAnsi="Times New Roman"/>
                <w:sz w:val="20"/>
                <w:szCs w:val="20"/>
              </w:rPr>
              <w:t>акции акционерных инвестиционных фондов, относящихся к категории рыночных финансовых инструментов;</w:t>
            </w:r>
          </w:p>
          <w:p w:rsidR="00F37791" w:rsidRPr="00B27590" w:rsidRDefault="00F37791" w:rsidP="00F37791">
            <w:pPr>
              <w:pStyle w:val="af4"/>
              <w:numPr>
                <w:ilvl w:val="1"/>
                <w:numId w:val="43"/>
              </w:numPr>
              <w:autoSpaceDE w:val="0"/>
              <w:autoSpaceDN w:val="0"/>
              <w:adjustRightInd w:val="0"/>
              <w:spacing w:after="0" w:line="240" w:lineRule="auto"/>
              <w:ind w:left="0" w:firstLine="284"/>
              <w:jc w:val="both"/>
              <w:rPr>
                <w:rFonts w:ascii="Times New Roman" w:hAnsi="Times New Roman"/>
                <w:sz w:val="20"/>
                <w:szCs w:val="20"/>
              </w:rPr>
            </w:pPr>
            <w:r w:rsidRPr="00B27590">
              <w:rPr>
                <w:rFonts w:ascii="Times New Roman" w:hAnsi="Times New Roman"/>
                <w:sz w:val="20"/>
                <w:szCs w:val="20"/>
              </w:rPr>
              <w:t>российские и иностранные депозитарные расписки на ценные бумаги, предусмотренные настоящим пунктом.</w:t>
            </w:r>
          </w:p>
          <w:p w:rsidR="00CA3401" w:rsidRPr="00B27590" w:rsidRDefault="00CA3401" w:rsidP="00ED643B">
            <w:pPr>
              <w:pStyle w:val="ConsPlusNormal"/>
              <w:spacing w:before="220"/>
              <w:ind w:firstLine="284"/>
              <w:contextualSpacing/>
              <w:rPr>
                <w:rFonts w:ascii="Times New Roman" w:hAnsi="Times New Roman"/>
              </w:rPr>
            </w:pPr>
          </w:p>
        </w:tc>
        <w:tc>
          <w:tcPr>
            <w:tcW w:w="4785" w:type="dxa"/>
          </w:tcPr>
          <w:p w:rsidR="00F37791" w:rsidRPr="00B27590" w:rsidRDefault="00F37791" w:rsidP="00B27590">
            <w:pPr>
              <w:pStyle w:val="ConsPlusNormal"/>
              <w:jc w:val="both"/>
              <w:rPr>
                <w:rFonts w:ascii="Times New Roman" w:hAnsi="Times New Roman" w:cs="Times New Roman"/>
              </w:rPr>
            </w:pPr>
            <w:r w:rsidRPr="00B27590">
              <w:rPr>
                <w:rFonts w:ascii="Times New Roman" w:hAnsi="Times New Roman" w:cs="Times New Roman"/>
              </w:rPr>
              <w:lastRenderedPageBreak/>
              <w:t>22.4</w:t>
            </w:r>
            <w:r w:rsidRPr="00B27590">
              <w:rPr>
                <w:rFonts w:ascii="Times New Roman" w:hAnsi="Times New Roman" w:cs="Times New Roman"/>
              </w:rPr>
              <w:tab/>
              <w:t>Под активами, указанными в подпункте 1) пункта 22.1 настоящих правил понимаются:</w:t>
            </w:r>
          </w:p>
          <w:p w:rsidR="00F37791" w:rsidRPr="00B27590" w:rsidRDefault="00F37791" w:rsidP="00B27590">
            <w:pPr>
              <w:pStyle w:val="ConsPlusNormal"/>
              <w:jc w:val="both"/>
              <w:rPr>
                <w:rFonts w:ascii="Times New Roman" w:hAnsi="Times New Roman" w:cs="Times New Roman"/>
              </w:rPr>
            </w:pPr>
            <w:r w:rsidRPr="00B27590">
              <w:rPr>
                <w:rFonts w:ascii="Times New Roman" w:hAnsi="Times New Roman" w:cs="Times New Roman"/>
              </w:rPr>
              <w:t>a)</w:t>
            </w:r>
            <w:r w:rsidRPr="00B27590">
              <w:rPr>
                <w:rFonts w:ascii="Times New Roman" w:hAnsi="Times New Roman" w:cs="Times New Roman"/>
              </w:rPr>
              <w:tab/>
              <w:t>акции и облигации российских хозяйственных обществ;</w:t>
            </w:r>
          </w:p>
          <w:p w:rsidR="00F37791" w:rsidRPr="00B27590" w:rsidRDefault="00F37791" w:rsidP="00B27590">
            <w:pPr>
              <w:pStyle w:val="ConsPlusNormal"/>
              <w:jc w:val="both"/>
              <w:rPr>
                <w:rFonts w:ascii="Times New Roman" w:hAnsi="Times New Roman" w:cs="Times New Roman"/>
              </w:rPr>
            </w:pPr>
            <w:r w:rsidRPr="00B27590">
              <w:rPr>
                <w:rFonts w:ascii="Times New Roman" w:hAnsi="Times New Roman" w:cs="Times New Roman"/>
              </w:rPr>
              <w:t>b)</w:t>
            </w:r>
            <w:r w:rsidRPr="00B27590">
              <w:rPr>
                <w:rFonts w:ascii="Times New Roman" w:hAnsi="Times New Roman" w:cs="Times New Roman"/>
              </w:rPr>
              <w:tab/>
              <w:t>государственные ценные бумаги субъектов Российской Федерации и муниципальные ценные бумаги;</w:t>
            </w:r>
          </w:p>
          <w:p w:rsidR="00F37791" w:rsidRPr="00B27590" w:rsidRDefault="00F37791" w:rsidP="00B27590">
            <w:pPr>
              <w:pStyle w:val="ConsPlusNormal"/>
              <w:jc w:val="both"/>
              <w:rPr>
                <w:rFonts w:ascii="Times New Roman" w:hAnsi="Times New Roman" w:cs="Times New Roman"/>
              </w:rPr>
            </w:pPr>
            <w:r w:rsidRPr="00B27590">
              <w:rPr>
                <w:rFonts w:ascii="Times New Roman" w:hAnsi="Times New Roman" w:cs="Times New Roman"/>
              </w:rPr>
              <w:t>c)</w:t>
            </w:r>
            <w:r w:rsidRPr="00B27590">
              <w:rPr>
                <w:rFonts w:ascii="Times New Roman" w:hAnsi="Times New Roman" w:cs="Times New Roman"/>
              </w:rPr>
              <w:tab/>
              <w:t>облигации иностранных коммерческих организаций и международных финансовых организаций;</w:t>
            </w:r>
          </w:p>
          <w:p w:rsidR="00F37791" w:rsidRPr="00B27590" w:rsidRDefault="00F37791" w:rsidP="00B27590">
            <w:pPr>
              <w:pStyle w:val="ConsPlusNormal"/>
              <w:jc w:val="both"/>
              <w:rPr>
                <w:rFonts w:ascii="Times New Roman" w:hAnsi="Times New Roman" w:cs="Times New Roman"/>
              </w:rPr>
            </w:pPr>
            <w:r w:rsidRPr="00B27590">
              <w:rPr>
                <w:rFonts w:ascii="Times New Roman" w:hAnsi="Times New Roman" w:cs="Times New Roman"/>
              </w:rPr>
              <w:t>d)</w:t>
            </w:r>
            <w:r w:rsidRPr="00B27590">
              <w:rPr>
                <w:rFonts w:ascii="Times New Roman" w:hAnsi="Times New Roman" w:cs="Times New Roman"/>
              </w:rPr>
              <w:tab/>
              <w:t>акции иностранных акционерных обществ;</w:t>
            </w:r>
          </w:p>
          <w:p w:rsidR="00F37791" w:rsidRPr="00B27590" w:rsidRDefault="00F37791" w:rsidP="00B27590">
            <w:pPr>
              <w:pStyle w:val="ConsPlusNormal"/>
              <w:jc w:val="both"/>
              <w:rPr>
                <w:rFonts w:ascii="Times New Roman" w:hAnsi="Times New Roman" w:cs="Times New Roman"/>
              </w:rPr>
            </w:pPr>
            <w:r w:rsidRPr="00B27590">
              <w:rPr>
                <w:rFonts w:ascii="Times New Roman" w:hAnsi="Times New Roman" w:cs="Times New Roman"/>
              </w:rPr>
              <w:t>e)</w:t>
            </w:r>
            <w:r w:rsidRPr="00B27590">
              <w:rPr>
                <w:rFonts w:ascii="Times New Roman" w:hAnsi="Times New Roman" w:cs="Times New Roman"/>
              </w:rPr>
              <w:tab/>
              <w:t>- инвестиционные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rsidR="00F37791" w:rsidRPr="00B27590" w:rsidRDefault="00F37791" w:rsidP="00B27590">
            <w:pPr>
              <w:pStyle w:val="ConsPlusNormal"/>
              <w:jc w:val="both"/>
              <w:rPr>
                <w:rFonts w:ascii="Times New Roman" w:hAnsi="Times New Roman" w:cs="Times New Roman"/>
              </w:rPr>
            </w:pPr>
            <w:r w:rsidRPr="00B27590">
              <w:rPr>
                <w:rFonts w:ascii="Times New Roman" w:hAnsi="Times New Roman" w:cs="Times New Roman"/>
              </w:rPr>
              <w:t>-</w:t>
            </w:r>
            <w:r w:rsidRPr="00B27590">
              <w:rPr>
                <w:rFonts w:ascii="Times New Roman" w:hAnsi="Times New Roman" w:cs="Times New Roman"/>
              </w:rPr>
              <w:tab/>
              <w:t>инвестиционные паи (акции) иностранных инвестиционных фондов, если код CFI имеет следующее значение: первая буква имеет значение «C», вторая буква имеет значение «H» или «E», третья буква имеет значение «O», или «М», или «С», или «X», при условии, что шестая буква имеет значение «Х»;</w:t>
            </w:r>
          </w:p>
          <w:p w:rsidR="00F37791" w:rsidRPr="00B27590" w:rsidRDefault="00F37791" w:rsidP="00B27590">
            <w:pPr>
              <w:pStyle w:val="ConsPlusNormal"/>
              <w:jc w:val="both"/>
              <w:rPr>
                <w:rFonts w:ascii="Times New Roman" w:hAnsi="Times New Roman" w:cs="Times New Roman"/>
              </w:rPr>
            </w:pPr>
            <w:r w:rsidRPr="00B27590">
              <w:rPr>
                <w:rFonts w:ascii="Times New Roman" w:hAnsi="Times New Roman" w:cs="Times New Roman"/>
              </w:rPr>
              <w:t>-</w:t>
            </w:r>
            <w:r w:rsidRPr="00B27590">
              <w:rPr>
                <w:rFonts w:ascii="Times New Roman" w:hAnsi="Times New Roman" w:cs="Times New Roman"/>
              </w:rPr>
              <w:tab/>
              <w:t>инвестиционные паи иностранных инвестиционных фондов, если код CFI имеет следующее значение: первая буква имеет значение «C», вторая буква имеет значение «I», или «E», или «B», или «F», или «Р», или «H», или «M», третья буква имеет значение «O», или «C», или «M», или «Х», пятая буква имеет значение «B», или «С», или «D», или «E», или «L», или «М», или «Х», или «V», при условии, что шестая буква имеет значение «U» или «Y»;</w:t>
            </w:r>
          </w:p>
          <w:p w:rsidR="00F37791" w:rsidRPr="00B27590" w:rsidRDefault="00F37791" w:rsidP="00B27590">
            <w:pPr>
              <w:pStyle w:val="ConsPlusNormal"/>
              <w:jc w:val="both"/>
              <w:rPr>
                <w:rFonts w:ascii="Times New Roman" w:hAnsi="Times New Roman" w:cs="Times New Roman"/>
              </w:rPr>
            </w:pPr>
            <w:r w:rsidRPr="00B27590">
              <w:rPr>
                <w:rFonts w:ascii="Times New Roman" w:hAnsi="Times New Roman" w:cs="Times New Roman"/>
              </w:rPr>
              <w:t>-</w:t>
            </w:r>
            <w:r w:rsidRPr="00B27590">
              <w:rPr>
                <w:rFonts w:ascii="Times New Roman" w:hAnsi="Times New Roman" w:cs="Times New Roman"/>
              </w:rPr>
              <w:tab/>
              <w:t xml:space="preserve">акции иностранных инвестиционных фондов, если первая буква имеет значение «C», вторая буква - значение «I», или «H», или «E», или «B», или «F», или «Р», или «M», третья буква - значение «O», или «C», или «M», или «Х», пятая буква имеет значение «B», или «С», или «D», или «E», или «F», или «H», или «I», или «L», или «М», или «P», или «R», или «Х», </w:t>
            </w:r>
            <w:r w:rsidR="00421439" w:rsidRPr="00B27590">
              <w:rPr>
                <w:rFonts w:ascii="Times New Roman" w:hAnsi="Times New Roman" w:cs="Times New Roman"/>
              </w:rPr>
              <w:t>или «</w:t>
            </w:r>
            <w:r w:rsidR="00421439">
              <w:rPr>
                <w:rFonts w:ascii="Times New Roman" w:hAnsi="Times New Roman" w:cs="Times New Roman"/>
                <w:lang w:val="en-GB"/>
              </w:rPr>
              <w:t>K</w:t>
            </w:r>
            <w:r w:rsidR="00421439" w:rsidRPr="00B27590">
              <w:rPr>
                <w:rFonts w:ascii="Times New Roman" w:hAnsi="Times New Roman" w:cs="Times New Roman"/>
              </w:rPr>
              <w:t xml:space="preserve">», </w:t>
            </w:r>
            <w:r w:rsidRPr="00B27590">
              <w:rPr>
                <w:rFonts w:ascii="Times New Roman" w:hAnsi="Times New Roman" w:cs="Times New Roman"/>
              </w:rPr>
              <w:t xml:space="preserve">или «V», при условии, что шестая буква имеет значение «S» </w:t>
            </w:r>
            <w:r w:rsidRPr="00B27590">
              <w:rPr>
                <w:rFonts w:ascii="Times New Roman" w:hAnsi="Times New Roman" w:cs="Times New Roman"/>
              </w:rPr>
              <w:lastRenderedPageBreak/>
              <w:t>или «Q»;</w:t>
            </w:r>
          </w:p>
          <w:p w:rsidR="00F37791" w:rsidRPr="00B27590" w:rsidRDefault="00F37791" w:rsidP="00B27590">
            <w:pPr>
              <w:pStyle w:val="ConsPlusNormal"/>
              <w:jc w:val="both"/>
              <w:rPr>
                <w:rFonts w:ascii="Times New Roman" w:hAnsi="Times New Roman" w:cs="Times New Roman"/>
              </w:rPr>
            </w:pPr>
            <w:r w:rsidRPr="00B27590">
              <w:rPr>
                <w:rFonts w:ascii="Times New Roman" w:hAnsi="Times New Roman" w:cs="Times New Roman"/>
              </w:rPr>
              <w:t>f)</w:t>
            </w:r>
            <w:r w:rsidRPr="00B27590">
              <w:rPr>
                <w:rFonts w:ascii="Times New Roman" w:hAnsi="Times New Roman" w:cs="Times New Roman"/>
              </w:rPr>
              <w:tab/>
              <w:t>ипотечные ценные бумаги, выпущенные в соответствии с законодательством Российской Федерации об ипотечных ценных бумагах;</w:t>
            </w:r>
          </w:p>
          <w:p w:rsidR="00F37791" w:rsidRPr="00B27590" w:rsidRDefault="00F37791" w:rsidP="00B27590">
            <w:pPr>
              <w:pStyle w:val="ConsPlusNormal"/>
              <w:jc w:val="both"/>
              <w:rPr>
                <w:rFonts w:ascii="Times New Roman" w:hAnsi="Times New Roman" w:cs="Times New Roman"/>
              </w:rPr>
            </w:pPr>
            <w:r w:rsidRPr="00B27590">
              <w:rPr>
                <w:rFonts w:ascii="Times New Roman" w:hAnsi="Times New Roman" w:cs="Times New Roman"/>
              </w:rPr>
              <w:t>g)</w:t>
            </w:r>
            <w:r w:rsidRPr="00B27590">
              <w:rPr>
                <w:rFonts w:ascii="Times New Roman" w:hAnsi="Times New Roman" w:cs="Times New Roman"/>
              </w:rPr>
              <w:tab/>
              <w:t>акции акционерных инвестиционных фондов, относящихся к категории рыночных финансовых инструментов;</w:t>
            </w:r>
          </w:p>
          <w:p w:rsidR="00CA3401" w:rsidRPr="00B27590" w:rsidRDefault="00F37791" w:rsidP="00B27590">
            <w:pPr>
              <w:pStyle w:val="ConsPlusNormal"/>
              <w:adjustRightInd/>
              <w:ind w:firstLine="0"/>
              <w:jc w:val="both"/>
              <w:rPr>
                <w:rFonts w:ascii="Times New Roman" w:hAnsi="Times New Roman" w:cs="Times New Roman"/>
              </w:rPr>
            </w:pPr>
            <w:r w:rsidRPr="00B27590">
              <w:rPr>
                <w:rFonts w:ascii="Times New Roman" w:hAnsi="Times New Roman" w:cs="Times New Roman"/>
              </w:rPr>
              <w:t>h)</w:t>
            </w:r>
            <w:r w:rsidRPr="00B27590">
              <w:rPr>
                <w:rFonts w:ascii="Times New Roman" w:hAnsi="Times New Roman" w:cs="Times New Roman"/>
              </w:rPr>
              <w:tab/>
              <w:t>российские и иностранные депозитарные расписки на ценные бумаги, предусмотренные настоящим пунктом.</w:t>
            </w:r>
          </w:p>
        </w:tc>
      </w:tr>
      <w:tr w:rsidR="00964A71" w:rsidRPr="007E4006" w:rsidTr="003E7696">
        <w:tc>
          <w:tcPr>
            <w:tcW w:w="4785" w:type="dxa"/>
          </w:tcPr>
          <w:p w:rsidR="007E1DF7" w:rsidRPr="007E1DF7" w:rsidRDefault="007E1DF7" w:rsidP="009F3747">
            <w:pPr>
              <w:pStyle w:val="ConsPlusNormal"/>
              <w:ind w:left="142" w:firstLine="709"/>
              <w:rPr>
                <w:rFonts w:ascii="Times New Roman" w:hAnsi="Times New Roman" w:cs="Times New Roman"/>
              </w:rPr>
            </w:pPr>
            <w:r w:rsidRPr="007E1DF7">
              <w:rPr>
                <w:rFonts w:ascii="Times New Roman" w:hAnsi="Times New Roman" w:cs="Times New Roman"/>
              </w:rPr>
              <w:lastRenderedPageBreak/>
              <w:t>23.1</w:t>
            </w:r>
            <w:r w:rsidRPr="007E1DF7">
              <w:rPr>
                <w:rFonts w:ascii="Times New Roman" w:hAnsi="Times New Roman" w:cs="Times New Roman"/>
              </w:rPr>
              <w:tab/>
              <w:t>Структура активов фонда должна одновременно соответствовать следующим требованиям:</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1)</w:t>
            </w:r>
            <w:r w:rsidRPr="007E1DF7">
              <w:rPr>
                <w:rFonts w:ascii="Times New Roman" w:hAnsi="Times New Roman" w:cs="Times New Roman"/>
              </w:rPr>
              <w:tab/>
              <w:t>денежные средства в рублях и в иностранной валюте на счетах и во вкладах (депозитах) в одной кредитной организации или иностранном банке иностранного государства, могут составлять не более 15 процентов стоимости активов фонда;</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2)</w:t>
            </w:r>
            <w:r w:rsidRPr="007E1DF7">
              <w:rPr>
                <w:rFonts w:ascii="Times New Roman" w:hAnsi="Times New Roman" w:cs="Times New Roman"/>
              </w:rPr>
              <w:tab/>
              <w:t>оценочная стоимость ценных бумаг одного эмитента может составлять не более 15 процентов стоимости активов фонда;</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3)</w:t>
            </w:r>
            <w:r w:rsidRPr="007E1DF7">
              <w:rPr>
                <w:rFonts w:ascii="Times New Roman" w:hAnsi="Times New Roman" w:cs="Times New Roman"/>
              </w:rPr>
              <w:tab/>
              <w:t xml:space="preserve">права требования к одному юридическому лицу, возникающие в результате приобретения (отчуждения) ценных бумаг могут составлять не более 15 процентов стоимости активов фонда; </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4)</w:t>
            </w:r>
            <w:r w:rsidRPr="007E1DF7">
              <w:rPr>
                <w:rFonts w:ascii="Times New Roman" w:hAnsi="Times New Roman" w:cs="Times New Roman"/>
              </w:rPr>
              <w:tab/>
              <w:t>права требования, возникающие на основании договора на брокерское обслуживание с одним юридическим лицом могут составлять не более 15 процентов стоимости активов фонда;</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5)</w:t>
            </w:r>
            <w:r w:rsidRPr="007E1DF7">
              <w:rPr>
                <w:rFonts w:ascii="Times New Roman" w:hAnsi="Times New Roman" w:cs="Times New Roman"/>
              </w:rPr>
              <w:tab/>
              <w:t>совокупная оценочная стоимость активов, указанных в подпунктах 1) - 4) настоящего пункта, в отношении одного юридического лица, не может превышать 15 процентов стоимости активов фонда;</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6)</w:t>
            </w:r>
            <w:r w:rsidRPr="007E1DF7">
              <w:rPr>
                <w:rFonts w:ascii="Times New Roman" w:hAnsi="Times New Roman" w:cs="Times New Roman"/>
              </w:rPr>
              <w:tab/>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может превышать 15 процентов стоимости активов фонда;</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7)</w:t>
            </w:r>
            <w:r w:rsidRPr="007E1DF7">
              <w:rPr>
                <w:rFonts w:ascii="Times New Roman" w:hAnsi="Times New Roman" w:cs="Times New Roman"/>
              </w:rPr>
              <w:tab/>
              <w:t xml:space="preserve">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23.2 настоящих Правил, от стоимости </w:t>
            </w:r>
            <w:r w:rsidRPr="007E1DF7">
              <w:rPr>
                <w:rFonts w:ascii="Times New Roman" w:hAnsi="Times New Roman" w:cs="Times New Roman"/>
              </w:rPr>
              <w:lastRenderedPageBreak/>
              <w:t>чистых активов фонда в совокупности должна превышать большую из следующих величин:</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w:t>
            </w:r>
            <w:r w:rsidRPr="007E1DF7">
              <w:rPr>
                <w:rFonts w:ascii="Times New Roman" w:hAnsi="Times New Roman" w:cs="Times New Roman"/>
              </w:rPr>
              <w:tab/>
              <w:t>пять процентов;</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w:t>
            </w:r>
            <w:r w:rsidRPr="007E1DF7">
              <w:rPr>
                <w:rFonts w:ascii="Times New Roman" w:hAnsi="Times New Roman" w:cs="Times New Roman"/>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календарных месяцев (данное требование применяется, в случае если с даты завершения (окончания) формирования паевого инвестиционного фонда прошло 36 календарных месяцев и более).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подпунктами 1) - 5)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Для целей подпункта 7)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 xml:space="preserve">Для целей подпункта 7) настоящего пункта используется рейтинг долгосрочной </w:t>
            </w:r>
            <w:r w:rsidRPr="007E1DF7">
              <w:rPr>
                <w:rFonts w:ascii="Times New Roman" w:hAnsi="Times New Roman" w:cs="Times New Roman"/>
              </w:rPr>
              <w:lastRenderedPageBreak/>
              <w:t>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Для целей подпунктов 2) и 5)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Для целей расчета ограничения, указанного в подпункте 1) и подпункте 5) настоящего пункта, в сумме денежных средств в рублях и в иностранной валюте на счетах в одной кредитной организации или иностранном банке иностранного государства, составляющей фонд, не учитывается сумма (или ее часть) денежных средств, подлежащих выплате в связи с погашением и обменом инвестиционных паев фонда, составляющим такой фонд,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составляющим такой фонд, на момент расчета ограничения.</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Требования подпунктов 1) - 5) настоящего пункта не распространяются на государственные ценные бумаги Российской Федерации.</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Требования подпунктов 1) - 6) настоящего пункта не применяются до даты завершения (окончания) формирования фонда и в течение 1 (одного) месяца после этой даты.</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8)</w:t>
            </w:r>
            <w:r w:rsidRPr="007E1DF7">
              <w:rPr>
                <w:rFonts w:ascii="Times New Roman" w:hAnsi="Times New Roman" w:cs="Times New Roman"/>
              </w:rPr>
              <w:tab/>
              <w:t>стоимость ценных бумаг (сумма денежных средств), полученных управляющей компанией инвестиционного фонда по первой части договора репо, размер принятых обязательств по поставке активов по иным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инвестиционного фонда.</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9)</w:t>
            </w:r>
            <w:r w:rsidRPr="007E1DF7">
              <w:rPr>
                <w:rFonts w:ascii="Times New Roman" w:hAnsi="Times New Roman" w:cs="Times New Roman"/>
              </w:rPr>
              <w:tab/>
              <w:t>на дату заключения договоров репо,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подпункте 8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7E1DF7" w:rsidRPr="007E1DF7" w:rsidRDefault="007E1DF7" w:rsidP="009F3747">
            <w:pPr>
              <w:pStyle w:val="ConsPlusNormal"/>
              <w:ind w:left="142"/>
              <w:jc w:val="both"/>
              <w:rPr>
                <w:rFonts w:ascii="Times New Roman" w:hAnsi="Times New Roman" w:cs="Times New Roman"/>
              </w:rPr>
            </w:pPr>
            <w:r w:rsidRPr="007E1DF7">
              <w:rPr>
                <w:rFonts w:ascii="Times New Roman" w:hAnsi="Times New Roman" w:cs="Times New Roman"/>
              </w:rPr>
              <w:t xml:space="preserve">Договоры репо заключаются на условиях поставки против платежа и предусмотренной договором репо обязанности каждой из сторон при изменении цены ценных бумаг, переданных по </w:t>
            </w:r>
            <w:r w:rsidRPr="007E1DF7">
              <w:rPr>
                <w:rFonts w:ascii="Times New Roman" w:hAnsi="Times New Roman" w:cs="Times New Roman"/>
              </w:rPr>
              <w:lastRenderedPageBreak/>
              <w:t>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инвестиционного фонда, в соответствии с инвестиционной декларацией фонда.</w:t>
            </w:r>
          </w:p>
          <w:p w:rsidR="00964A71" w:rsidRPr="00B27590" w:rsidRDefault="007E1DF7" w:rsidP="009F3747">
            <w:pPr>
              <w:pStyle w:val="ConsPlusNormal"/>
              <w:adjustRightInd/>
              <w:ind w:left="142" w:firstLine="0"/>
              <w:jc w:val="both"/>
              <w:rPr>
                <w:rFonts w:ascii="Times New Roman" w:hAnsi="Times New Roman" w:cs="Times New Roman"/>
              </w:rPr>
            </w:pPr>
            <w:r w:rsidRPr="007E1DF7">
              <w:rPr>
                <w:rFonts w:ascii="Times New Roman" w:hAnsi="Times New Roman" w:cs="Times New Roman"/>
              </w:rPr>
              <w:t>Для целей подпунктов 8) и 9)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tc>
        <w:tc>
          <w:tcPr>
            <w:tcW w:w="4785" w:type="dxa"/>
          </w:tcPr>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lastRenderedPageBreak/>
              <w:t>23.1</w:t>
            </w:r>
            <w:r w:rsidRPr="009F3747">
              <w:rPr>
                <w:rFonts w:ascii="Times New Roman" w:hAnsi="Times New Roman" w:cs="Times New Roman"/>
              </w:rPr>
              <w:tab/>
              <w:t>Структура активов фонда должна одновременно соответствовать следующим требованиям:</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1)</w:t>
            </w:r>
            <w:r w:rsidRPr="009F3747">
              <w:rPr>
                <w:rFonts w:ascii="Times New Roman" w:hAnsi="Times New Roman" w:cs="Times New Roman"/>
              </w:rPr>
              <w:tab/>
              <w:t>денежные средства в рублях и в иностранной валюте на счетах и во вкладах (депозитах) в одной кредитной организации или иностранном банке иностранного государства, могут составлять не более 15 процентов стоимости активов фонда</w:t>
            </w:r>
            <w:r>
              <w:rPr>
                <w:rFonts w:ascii="Times New Roman" w:hAnsi="Times New Roman" w:cs="Times New Roman"/>
              </w:rPr>
              <w:t xml:space="preserve">, </w:t>
            </w:r>
            <w:r w:rsidRPr="009F3747">
              <w:rPr>
                <w:rFonts w:ascii="Times New Roman" w:hAnsi="Times New Roman" w:cs="Times New Roman"/>
              </w:rPr>
              <w:t>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2)</w:t>
            </w:r>
            <w:r w:rsidRPr="009F3747">
              <w:rPr>
                <w:rFonts w:ascii="Times New Roman" w:hAnsi="Times New Roman" w:cs="Times New Roman"/>
              </w:rPr>
              <w:tab/>
              <w:t>оценочная стоимость ценных бумаг одного эмитента может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3)</w:t>
            </w:r>
            <w:r w:rsidRPr="009F3747">
              <w:rPr>
                <w:rFonts w:ascii="Times New Roman" w:hAnsi="Times New Roman" w:cs="Times New Roman"/>
              </w:rPr>
              <w:tab/>
              <w:t xml:space="preserve">права требования к одному юридическому лицу, возникающие в результате приобретения (отчуждения) ценных бумаг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4)</w:t>
            </w:r>
            <w:r w:rsidRPr="009F3747">
              <w:rPr>
                <w:rFonts w:ascii="Times New Roman" w:hAnsi="Times New Roman" w:cs="Times New Roman"/>
              </w:rPr>
              <w:tab/>
              <w:t>права требования, возникающие на основании договора на брокерское обслуживание с одним юридическим лицом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5)</w:t>
            </w:r>
            <w:r w:rsidRPr="009F3747">
              <w:rPr>
                <w:rFonts w:ascii="Times New Roman" w:hAnsi="Times New Roman" w:cs="Times New Roman"/>
              </w:rPr>
              <w:tab/>
              <w:t xml:space="preserve">совокупная оценочная стоимость активов, указанных в подпунктах 1) - 4) настоящего пункта, в отношении одного юридического лица,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w:t>
            </w:r>
            <w:r w:rsidRPr="009F3747">
              <w:rPr>
                <w:rFonts w:ascii="Times New Roman" w:hAnsi="Times New Roman" w:cs="Times New Roman"/>
              </w:rPr>
              <w:lastRenderedPageBreak/>
              <w:t>июля 2021 года - 11 процентов стоимости активов фонда, а с 1 января 2022 года - 10 процентов стоимости активов фонда;</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6)</w:t>
            </w:r>
            <w:r w:rsidRPr="009F3747">
              <w:rPr>
                <w:rFonts w:ascii="Times New Roman" w:hAnsi="Times New Roman" w:cs="Times New Roman"/>
              </w:rPr>
              <w:tab/>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7)</w:t>
            </w:r>
            <w:r w:rsidRPr="009F3747">
              <w:rPr>
                <w:rFonts w:ascii="Times New Roman" w:hAnsi="Times New Roman" w:cs="Times New Roman"/>
              </w:rPr>
              <w:tab/>
              <w:t>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23.2 настоящих Правил, от стоимости чистых активов фонда в совокупности должна превышать большую из следующих величин:</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пять процентов;</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календарных месяцев (данное требование применяется, в случае если с даты завершения (окончания) формирования паевого инвестиционного фонда прошло 36 календарных месяцев и более).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w:t>
            </w:r>
            <w:r w:rsidRPr="009F3747">
              <w:rPr>
                <w:rFonts w:ascii="Times New Roman" w:hAnsi="Times New Roman" w:cs="Times New Roman"/>
              </w:rPr>
              <w:lastRenderedPageBreak/>
              <w:t>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подпунктами 1) - 5)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Для целей подпункта 7)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Для целей подпункта 7)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Для целей подпунктов 2) и 5)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 xml:space="preserve">Для целей расчета ограничения, указанного в подпункте 1), подпункте 4) и подпункте 5)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w:t>
            </w:r>
            <w:r w:rsidRPr="009F3747">
              <w:rPr>
                <w:rFonts w:ascii="Times New Roman" w:hAnsi="Times New Roman" w:cs="Times New Roman"/>
              </w:rPr>
              <w:lastRenderedPageBreak/>
              <w:t>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составляющим такой фонд,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должны превышать общую сумму денежных средств, подлежащих выплате в связи с погашением и обменом инвестиционных паев фонда, составляющим такой фонд, на момент расчета ограничения.</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Для целей расчета ограничений, указанных в подпунктах 1)-5)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Требования подпунктов 1) - 5) настоящего пункта не распространяются на государственные ценные бумаги Российской Федерации.</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Требования подпунктов 1) - 6) настоящего пункта не применяются до даты завершения (окончания) формирования фонда и в течение 1 (одного) месяца после этой даты.</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8)</w:t>
            </w:r>
            <w:r w:rsidRPr="009F3747">
              <w:rPr>
                <w:rFonts w:ascii="Times New Roman" w:hAnsi="Times New Roman" w:cs="Times New Roman"/>
              </w:rPr>
              <w:tab/>
              <w:t>стоимость ценных бумаг (сумма денежных средств), полученных управляющей компанией инвестиционного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инвестиционного фонда.</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9)</w:t>
            </w:r>
            <w:r w:rsidRPr="009F3747">
              <w:rPr>
                <w:rFonts w:ascii="Times New Roman" w:hAnsi="Times New Roman" w:cs="Times New Roman"/>
              </w:rPr>
              <w:tab/>
              <w:t>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8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9F3747" w:rsidRPr="009F3747" w:rsidRDefault="009F3747" w:rsidP="00BB232D">
            <w:pPr>
              <w:pStyle w:val="ConsPlusNormal"/>
              <w:jc w:val="both"/>
              <w:rPr>
                <w:rFonts w:ascii="Times New Roman" w:hAnsi="Times New Roman" w:cs="Times New Roman"/>
              </w:rPr>
            </w:pPr>
            <w:r w:rsidRPr="009F3747">
              <w:rPr>
                <w:rFonts w:ascii="Times New Roman" w:hAnsi="Times New Roman" w:cs="Times New Roman"/>
              </w:rPr>
              <w:t xml:space="preserve">Договоры репо заключаются, если они соответствуют одному из следующих условий: </w:t>
            </w:r>
            <w:r w:rsidRPr="009F3747">
              <w:rPr>
                <w:rFonts w:ascii="Times New Roman" w:hAnsi="Times New Roman" w:cs="Times New Roman"/>
              </w:rPr>
              <w:lastRenderedPageBreak/>
              <w:t>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инвестиционного фонда, в соответствии с инвестиционной декларацией фонда.</w:t>
            </w:r>
          </w:p>
          <w:p w:rsidR="00964A71" w:rsidRDefault="009F3747" w:rsidP="00BB232D">
            <w:pPr>
              <w:pStyle w:val="ConsPlusNormal"/>
              <w:jc w:val="both"/>
              <w:rPr>
                <w:rFonts w:ascii="Times New Roman" w:hAnsi="Times New Roman" w:cs="Times New Roman"/>
              </w:rPr>
            </w:pPr>
            <w:r w:rsidRPr="009F3747">
              <w:rPr>
                <w:rFonts w:ascii="Times New Roman" w:hAnsi="Times New Roman" w:cs="Times New Roman"/>
              </w:rPr>
              <w:t>Для целей подпунктов 8) и 9)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p w:rsidR="00BE7421" w:rsidRPr="00B27590" w:rsidRDefault="00BE7421" w:rsidP="00BB232D">
            <w:pPr>
              <w:pStyle w:val="ConsPlusNormal"/>
              <w:jc w:val="both"/>
              <w:rPr>
                <w:rFonts w:ascii="Times New Roman" w:hAnsi="Times New Roman" w:cs="Times New Roman"/>
              </w:rPr>
            </w:pPr>
            <w:r w:rsidRPr="00634AED">
              <w:rPr>
                <w:rFonts w:ascii="Times New Roman" w:hAnsi="Times New Roman" w:cs="Times New Roman"/>
              </w:rPr>
              <w:t>При определении структуры активов фонда учитываются активы, принятые к расчету стоимости его чистых активов (с учетом требования, установленного</w:t>
            </w:r>
            <w:r>
              <w:rPr>
                <w:rFonts w:ascii="Times New Roman" w:hAnsi="Times New Roman" w:cs="Times New Roman"/>
              </w:rPr>
              <w:t xml:space="preserve"> абзацем четвертым подпункта 7) настоящих правил).</w:t>
            </w:r>
          </w:p>
        </w:tc>
      </w:tr>
      <w:tr w:rsidR="00825DB5" w:rsidRPr="007E4006" w:rsidTr="003E7696">
        <w:tc>
          <w:tcPr>
            <w:tcW w:w="4785" w:type="dxa"/>
          </w:tcPr>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lastRenderedPageBreak/>
              <w:t>23.2</w:t>
            </w:r>
            <w:r w:rsidRPr="00825DB5">
              <w:rPr>
                <w:rFonts w:ascii="Times New Roman" w:hAnsi="Times New Roman" w:cs="Times New Roman"/>
              </w:rPr>
              <w:tab/>
              <w:t>Перечень фондовых индексов:</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1)</w:t>
            </w:r>
            <w:r w:rsidRPr="00825DB5">
              <w:rPr>
                <w:rFonts w:ascii="Times New Roman" w:hAnsi="Times New Roman" w:cs="Times New Roman"/>
              </w:rPr>
              <w:tab/>
              <w:t>S&amp;P/ASX-200 (Австралия)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2)</w:t>
            </w:r>
            <w:r w:rsidRPr="00825DB5">
              <w:rPr>
                <w:rFonts w:ascii="Times New Roman" w:hAnsi="Times New Roman" w:cs="Times New Roman"/>
              </w:rPr>
              <w:tab/>
              <w:t>ATX (Австрия)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3)</w:t>
            </w:r>
            <w:r w:rsidRPr="00825DB5">
              <w:rPr>
                <w:rFonts w:ascii="Times New Roman" w:hAnsi="Times New Roman" w:cs="Times New Roman"/>
              </w:rPr>
              <w:tab/>
              <w:t>BEL20 (Бельгия)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4)</w:t>
            </w:r>
            <w:r w:rsidRPr="00825DB5">
              <w:rPr>
                <w:rFonts w:ascii="Times New Roman" w:hAnsi="Times New Roman" w:cs="Times New Roman"/>
              </w:rPr>
              <w:tab/>
              <w:t>Ibovespa (Бразилия)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5)</w:t>
            </w:r>
            <w:r w:rsidRPr="00825DB5">
              <w:rPr>
                <w:rFonts w:ascii="Times New Roman" w:hAnsi="Times New Roman" w:cs="Times New Roman"/>
              </w:rPr>
              <w:tab/>
              <w:t>Budapest SE (Венгрия)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6)</w:t>
            </w:r>
            <w:r w:rsidRPr="00825DB5">
              <w:rPr>
                <w:rFonts w:ascii="Times New Roman" w:hAnsi="Times New Roman" w:cs="Times New Roman"/>
              </w:rPr>
              <w:tab/>
              <w:t>FTSE 100 (Великобритания)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7)</w:t>
            </w:r>
            <w:r w:rsidRPr="00825DB5">
              <w:rPr>
                <w:rFonts w:ascii="Times New Roman" w:hAnsi="Times New Roman" w:cs="Times New Roman"/>
              </w:rPr>
              <w:tab/>
              <w:t>HaNg SeNg (Гонконг)</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8)</w:t>
            </w:r>
            <w:r w:rsidRPr="00825DB5">
              <w:rPr>
                <w:rFonts w:ascii="Times New Roman" w:hAnsi="Times New Roman" w:cs="Times New Roman"/>
              </w:rPr>
              <w:tab/>
              <w:t>DAX (Германия)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9)</w:t>
            </w:r>
            <w:r w:rsidRPr="00825DB5">
              <w:rPr>
                <w:rFonts w:ascii="Times New Roman" w:hAnsi="Times New Roman" w:cs="Times New Roman"/>
              </w:rPr>
              <w:tab/>
              <w:t>OMX CopeNhage№ 20 (Дания)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10)</w:t>
            </w:r>
            <w:r w:rsidRPr="00825DB5">
              <w:rPr>
                <w:rFonts w:ascii="Times New Roman" w:hAnsi="Times New Roman" w:cs="Times New Roman"/>
              </w:rPr>
              <w:tab/>
              <w:t>TA 25 (Израиль)</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11)</w:t>
            </w:r>
            <w:r w:rsidRPr="00825DB5">
              <w:rPr>
                <w:rFonts w:ascii="Times New Roman" w:hAnsi="Times New Roman" w:cs="Times New Roman"/>
              </w:rPr>
              <w:tab/>
              <w:t>BSE SeNsex (Индия)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12)</w:t>
            </w:r>
            <w:r w:rsidRPr="00825DB5">
              <w:rPr>
                <w:rFonts w:ascii="Times New Roman" w:hAnsi="Times New Roman" w:cs="Times New Roman"/>
              </w:rPr>
              <w:tab/>
              <w:t>ISEQ 20 (Ирландия)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13)</w:t>
            </w:r>
            <w:r w:rsidRPr="00825DB5">
              <w:rPr>
                <w:rFonts w:ascii="Times New Roman" w:hAnsi="Times New Roman" w:cs="Times New Roman"/>
              </w:rPr>
              <w:tab/>
              <w:t>ICEX (Исландия)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14)</w:t>
            </w:r>
            <w:r w:rsidRPr="00825DB5">
              <w:rPr>
                <w:rFonts w:ascii="Times New Roman" w:hAnsi="Times New Roman" w:cs="Times New Roman"/>
              </w:rPr>
              <w:tab/>
              <w:t>IBEX 35 (Испания)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15)</w:t>
            </w:r>
            <w:r w:rsidRPr="00825DB5">
              <w:rPr>
                <w:rFonts w:ascii="Times New Roman" w:hAnsi="Times New Roman" w:cs="Times New Roman"/>
              </w:rPr>
              <w:tab/>
              <w:t>FTSE MIB (Италия)</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16)</w:t>
            </w:r>
            <w:r w:rsidRPr="00825DB5">
              <w:rPr>
                <w:rFonts w:ascii="Times New Roman" w:hAnsi="Times New Roman" w:cs="Times New Roman"/>
                <w:lang w:val="en-US"/>
              </w:rPr>
              <w:tab/>
              <w:t>S&amp;P/TSX (</w:t>
            </w:r>
            <w:r w:rsidRPr="00825DB5">
              <w:rPr>
                <w:rFonts w:ascii="Times New Roman" w:hAnsi="Times New Roman" w:cs="Times New Roman"/>
              </w:rPr>
              <w:t>Канада</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17)</w:t>
            </w:r>
            <w:r w:rsidRPr="00825DB5">
              <w:rPr>
                <w:rFonts w:ascii="Times New Roman" w:hAnsi="Times New Roman" w:cs="Times New Roman"/>
                <w:lang w:val="en-US"/>
              </w:rPr>
              <w:tab/>
              <w:t>SSE Composite INdex (</w:t>
            </w:r>
            <w:r w:rsidRPr="00825DB5">
              <w:rPr>
                <w:rFonts w:ascii="Times New Roman" w:hAnsi="Times New Roman" w:cs="Times New Roman"/>
              </w:rPr>
              <w:t>Китай</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18)</w:t>
            </w:r>
            <w:r w:rsidRPr="00825DB5">
              <w:rPr>
                <w:rFonts w:ascii="Times New Roman" w:hAnsi="Times New Roman" w:cs="Times New Roman"/>
                <w:lang w:val="en-US"/>
              </w:rPr>
              <w:tab/>
              <w:t>LuxX INdex (</w:t>
            </w:r>
            <w:r w:rsidRPr="00825DB5">
              <w:rPr>
                <w:rFonts w:ascii="Times New Roman" w:hAnsi="Times New Roman" w:cs="Times New Roman"/>
              </w:rPr>
              <w:t>Люксембург</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19)</w:t>
            </w:r>
            <w:r w:rsidRPr="00825DB5">
              <w:rPr>
                <w:rFonts w:ascii="Times New Roman" w:hAnsi="Times New Roman" w:cs="Times New Roman"/>
                <w:lang w:val="en-US"/>
              </w:rPr>
              <w:tab/>
              <w:t>IPC (</w:t>
            </w:r>
            <w:r w:rsidRPr="00825DB5">
              <w:rPr>
                <w:rFonts w:ascii="Times New Roman" w:hAnsi="Times New Roman" w:cs="Times New Roman"/>
              </w:rPr>
              <w:t>Мексика</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20)</w:t>
            </w:r>
            <w:r w:rsidRPr="00825DB5">
              <w:rPr>
                <w:rFonts w:ascii="Times New Roman" w:hAnsi="Times New Roman" w:cs="Times New Roman"/>
                <w:lang w:val="en-US"/>
              </w:rPr>
              <w:tab/>
              <w:t>AEX INdex (</w:t>
            </w:r>
            <w:r w:rsidRPr="00825DB5">
              <w:rPr>
                <w:rFonts w:ascii="Times New Roman" w:hAnsi="Times New Roman" w:cs="Times New Roman"/>
              </w:rPr>
              <w:t>Нидерланды</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21)</w:t>
            </w:r>
            <w:r w:rsidRPr="00825DB5">
              <w:rPr>
                <w:rFonts w:ascii="Times New Roman" w:hAnsi="Times New Roman" w:cs="Times New Roman"/>
                <w:lang w:val="en-US"/>
              </w:rPr>
              <w:tab/>
              <w:t>DJ New ZealaNd (</w:t>
            </w:r>
            <w:r w:rsidRPr="00825DB5">
              <w:rPr>
                <w:rFonts w:ascii="Times New Roman" w:hAnsi="Times New Roman" w:cs="Times New Roman"/>
              </w:rPr>
              <w:t>Новая</w:t>
            </w:r>
            <w:r w:rsidRPr="00825DB5">
              <w:rPr>
                <w:rFonts w:ascii="Times New Roman" w:hAnsi="Times New Roman" w:cs="Times New Roman"/>
                <w:lang w:val="en-US"/>
              </w:rPr>
              <w:t xml:space="preserve"> </w:t>
            </w:r>
            <w:r w:rsidRPr="00825DB5">
              <w:rPr>
                <w:rFonts w:ascii="Times New Roman" w:hAnsi="Times New Roman" w:cs="Times New Roman"/>
              </w:rPr>
              <w:t>Зеландия</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22)</w:t>
            </w:r>
            <w:r w:rsidRPr="00825DB5">
              <w:rPr>
                <w:rFonts w:ascii="Times New Roman" w:hAnsi="Times New Roman" w:cs="Times New Roman"/>
                <w:lang w:val="en-US"/>
              </w:rPr>
              <w:tab/>
              <w:t>OBX (</w:t>
            </w:r>
            <w:r w:rsidRPr="00825DB5">
              <w:rPr>
                <w:rFonts w:ascii="Times New Roman" w:hAnsi="Times New Roman" w:cs="Times New Roman"/>
              </w:rPr>
              <w:t>Норвегия</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23)</w:t>
            </w:r>
            <w:r w:rsidRPr="00825DB5">
              <w:rPr>
                <w:rFonts w:ascii="Times New Roman" w:hAnsi="Times New Roman" w:cs="Times New Roman"/>
                <w:lang w:val="en-US"/>
              </w:rPr>
              <w:tab/>
              <w:t>WIG (</w:t>
            </w:r>
            <w:r w:rsidRPr="00825DB5">
              <w:rPr>
                <w:rFonts w:ascii="Times New Roman" w:hAnsi="Times New Roman" w:cs="Times New Roman"/>
              </w:rPr>
              <w:t>Польша</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24)</w:t>
            </w:r>
            <w:r w:rsidRPr="00825DB5">
              <w:rPr>
                <w:rFonts w:ascii="Times New Roman" w:hAnsi="Times New Roman" w:cs="Times New Roman"/>
                <w:lang w:val="en-US"/>
              </w:rPr>
              <w:tab/>
              <w:t>PSI 20 (</w:t>
            </w:r>
            <w:r w:rsidRPr="00825DB5">
              <w:rPr>
                <w:rFonts w:ascii="Times New Roman" w:hAnsi="Times New Roman" w:cs="Times New Roman"/>
              </w:rPr>
              <w:t>Португалия</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25)</w:t>
            </w:r>
            <w:r w:rsidRPr="00825DB5">
              <w:rPr>
                <w:rFonts w:ascii="Times New Roman" w:hAnsi="Times New Roman" w:cs="Times New Roman"/>
              </w:rPr>
              <w:tab/>
              <w:t>ММВБ (Россия)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26)</w:t>
            </w:r>
            <w:r w:rsidRPr="00825DB5">
              <w:rPr>
                <w:rFonts w:ascii="Times New Roman" w:hAnsi="Times New Roman" w:cs="Times New Roman"/>
              </w:rPr>
              <w:tab/>
              <w:t>РТС (Россия)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27)</w:t>
            </w:r>
            <w:r w:rsidRPr="00825DB5">
              <w:rPr>
                <w:rFonts w:ascii="Times New Roman" w:hAnsi="Times New Roman" w:cs="Times New Roman"/>
              </w:rPr>
              <w:tab/>
              <w:t>SAX (Словакия)</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28)</w:t>
            </w:r>
            <w:r w:rsidRPr="00825DB5">
              <w:rPr>
                <w:rFonts w:ascii="Times New Roman" w:hAnsi="Times New Roman" w:cs="Times New Roman"/>
                <w:lang w:val="en-US"/>
              </w:rPr>
              <w:tab/>
              <w:t>Blue-Chip SBITOP (</w:t>
            </w:r>
            <w:r w:rsidRPr="00825DB5">
              <w:rPr>
                <w:rFonts w:ascii="Times New Roman" w:hAnsi="Times New Roman" w:cs="Times New Roman"/>
              </w:rPr>
              <w:t>Словения</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29)</w:t>
            </w:r>
            <w:r w:rsidRPr="00825DB5">
              <w:rPr>
                <w:rFonts w:ascii="Times New Roman" w:hAnsi="Times New Roman" w:cs="Times New Roman"/>
                <w:lang w:val="en-US"/>
              </w:rPr>
              <w:tab/>
              <w:t>Dow JoNes (</w:t>
            </w:r>
            <w:r w:rsidRPr="00825DB5">
              <w:rPr>
                <w:rFonts w:ascii="Times New Roman" w:hAnsi="Times New Roman" w:cs="Times New Roman"/>
              </w:rPr>
              <w:t>США</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30)</w:t>
            </w:r>
            <w:r w:rsidRPr="00825DB5">
              <w:rPr>
                <w:rFonts w:ascii="Times New Roman" w:hAnsi="Times New Roman" w:cs="Times New Roman"/>
                <w:lang w:val="en-US"/>
              </w:rPr>
              <w:tab/>
              <w:t>S&amp;P 500 (</w:t>
            </w:r>
            <w:r w:rsidRPr="00825DB5">
              <w:rPr>
                <w:rFonts w:ascii="Times New Roman" w:hAnsi="Times New Roman" w:cs="Times New Roman"/>
              </w:rPr>
              <w:t>США</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31)</w:t>
            </w:r>
            <w:r w:rsidRPr="00825DB5">
              <w:rPr>
                <w:rFonts w:ascii="Times New Roman" w:hAnsi="Times New Roman" w:cs="Times New Roman"/>
                <w:lang w:val="en-US"/>
              </w:rPr>
              <w:tab/>
              <w:t>BIST 100 (</w:t>
            </w:r>
            <w:r w:rsidRPr="00825DB5">
              <w:rPr>
                <w:rFonts w:ascii="Times New Roman" w:hAnsi="Times New Roman" w:cs="Times New Roman"/>
              </w:rPr>
              <w:t>Турция</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32)</w:t>
            </w:r>
            <w:r w:rsidRPr="00825DB5">
              <w:rPr>
                <w:rFonts w:ascii="Times New Roman" w:hAnsi="Times New Roman" w:cs="Times New Roman"/>
                <w:lang w:val="en-US"/>
              </w:rPr>
              <w:tab/>
              <w:t>OMX HelsiNki 25 (</w:t>
            </w:r>
            <w:r w:rsidRPr="00825DB5">
              <w:rPr>
                <w:rFonts w:ascii="Times New Roman" w:hAnsi="Times New Roman" w:cs="Times New Roman"/>
              </w:rPr>
              <w:t>Финляндия</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33)</w:t>
            </w:r>
            <w:r w:rsidRPr="00825DB5">
              <w:rPr>
                <w:rFonts w:ascii="Times New Roman" w:hAnsi="Times New Roman" w:cs="Times New Roman"/>
              </w:rPr>
              <w:tab/>
              <w:t>CAC 40 (Франция)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34)</w:t>
            </w:r>
            <w:r w:rsidRPr="00825DB5">
              <w:rPr>
                <w:rFonts w:ascii="Times New Roman" w:hAnsi="Times New Roman" w:cs="Times New Roman"/>
              </w:rPr>
              <w:tab/>
              <w:t>PX INdex (Чешская республика)</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35)</w:t>
            </w:r>
            <w:r w:rsidRPr="00825DB5">
              <w:rPr>
                <w:rFonts w:ascii="Times New Roman" w:hAnsi="Times New Roman" w:cs="Times New Roman"/>
              </w:rPr>
              <w:tab/>
              <w:t>IPSA (Чили)</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36)</w:t>
            </w:r>
            <w:r w:rsidRPr="00825DB5">
              <w:rPr>
                <w:rFonts w:ascii="Times New Roman" w:hAnsi="Times New Roman" w:cs="Times New Roman"/>
              </w:rPr>
              <w:tab/>
              <w:t>SMI (Швейцария)</w:t>
            </w:r>
          </w:p>
          <w:p w:rsidR="00825DB5" w:rsidRPr="00825DB5"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lastRenderedPageBreak/>
              <w:t>37)</w:t>
            </w:r>
            <w:r w:rsidRPr="00825DB5">
              <w:rPr>
                <w:rFonts w:ascii="Times New Roman" w:hAnsi="Times New Roman" w:cs="Times New Roman"/>
              </w:rPr>
              <w:tab/>
              <w:t>OMXS30 (Швеция)</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38)</w:t>
            </w:r>
            <w:r w:rsidRPr="00825DB5">
              <w:rPr>
                <w:rFonts w:ascii="Times New Roman" w:hAnsi="Times New Roman" w:cs="Times New Roman"/>
                <w:lang w:val="en-US"/>
              </w:rPr>
              <w:tab/>
              <w:t>TalliNN SE Ge№eral (</w:t>
            </w:r>
            <w:r w:rsidRPr="00825DB5">
              <w:rPr>
                <w:rFonts w:ascii="Times New Roman" w:hAnsi="Times New Roman" w:cs="Times New Roman"/>
              </w:rPr>
              <w:t>Эстония</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39)</w:t>
            </w:r>
            <w:r w:rsidRPr="00825DB5">
              <w:rPr>
                <w:rFonts w:ascii="Times New Roman" w:hAnsi="Times New Roman" w:cs="Times New Roman"/>
                <w:lang w:val="en-US"/>
              </w:rPr>
              <w:tab/>
              <w:t>FTSE/JSE Top40 (</w:t>
            </w:r>
            <w:r w:rsidRPr="00825DB5">
              <w:rPr>
                <w:rFonts w:ascii="Times New Roman" w:hAnsi="Times New Roman" w:cs="Times New Roman"/>
              </w:rPr>
              <w:t>ЮАР</w:t>
            </w:r>
            <w:r w:rsidRPr="00825DB5">
              <w:rPr>
                <w:rFonts w:ascii="Times New Roman" w:hAnsi="Times New Roman" w:cs="Times New Roman"/>
                <w:lang w:val="en-US"/>
              </w:rPr>
              <w:t>)</w:t>
            </w:r>
          </w:p>
          <w:p w:rsidR="00825DB5" w:rsidRPr="00825DB5" w:rsidRDefault="00825DB5" w:rsidP="00825DB5">
            <w:pPr>
              <w:pStyle w:val="ConsPlusNormal"/>
              <w:ind w:left="142" w:firstLine="709"/>
              <w:rPr>
                <w:rFonts w:ascii="Times New Roman" w:hAnsi="Times New Roman" w:cs="Times New Roman"/>
                <w:lang w:val="en-US"/>
              </w:rPr>
            </w:pPr>
            <w:r w:rsidRPr="00825DB5">
              <w:rPr>
                <w:rFonts w:ascii="Times New Roman" w:hAnsi="Times New Roman" w:cs="Times New Roman"/>
                <w:lang w:val="en-US"/>
              </w:rPr>
              <w:t>40)</w:t>
            </w:r>
            <w:r w:rsidRPr="00825DB5">
              <w:rPr>
                <w:rFonts w:ascii="Times New Roman" w:hAnsi="Times New Roman" w:cs="Times New Roman"/>
                <w:lang w:val="en-US"/>
              </w:rPr>
              <w:tab/>
              <w:t>KOSPI (</w:t>
            </w:r>
            <w:r w:rsidRPr="00825DB5">
              <w:rPr>
                <w:rFonts w:ascii="Times New Roman" w:hAnsi="Times New Roman" w:cs="Times New Roman"/>
              </w:rPr>
              <w:t>Южная</w:t>
            </w:r>
            <w:r w:rsidRPr="00825DB5">
              <w:rPr>
                <w:rFonts w:ascii="Times New Roman" w:hAnsi="Times New Roman" w:cs="Times New Roman"/>
                <w:lang w:val="en-US"/>
              </w:rPr>
              <w:t xml:space="preserve"> </w:t>
            </w:r>
            <w:r w:rsidRPr="00825DB5">
              <w:rPr>
                <w:rFonts w:ascii="Times New Roman" w:hAnsi="Times New Roman" w:cs="Times New Roman"/>
              </w:rPr>
              <w:t>Корея</w:t>
            </w:r>
            <w:r w:rsidRPr="00825DB5">
              <w:rPr>
                <w:rFonts w:ascii="Times New Roman" w:hAnsi="Times New Roman" w:cs="Times New Roman"/>
                <w:lang w:val="en-US"/>
              </w:rPr>
              <w:t>)</w:t>
            </w:r>
          </w:p>
          <w:p w:rsidR="00825DB5" w:rsidRPr="007E1DF7" w:rsidRDefault="00825DB5" w:rsidP="00825DB5">
            <w:pPr>
              <w:pStyle w:val="ConsPlusNormal"/>
              <w:ind w:left="142" w:firstLine="709"/>
              <w:rPr>
                <w:rFonts w:ascii="Times New Roman" w:hAnsi="Times New Roman" w:cs="Times New Roman"/>
              </w:rPr>
            </w:pPr>
            <w:r w:rsidRPr="00825DB5">
              <w:rPr>
                <w:rFonts w:ascii="Times New Roman" w:hAnsi="Times New Roman" w:cs="Times New Roman"/>
              </w:rPr>
              <w:t>41)</w:t>
            </w:r>
            <w:r w:rsidRPr="00825DB5">
              <w:rPr>
                <w:rFonts w:ascii="Times New Roman" w:hAnsi="Times New Roman" w:cs="Times New Roman"/>
              </w:rPr>
              <w:tab/>
              <w:t>Nikkei 225 (Япония)</w:t>
            </w:r>
          </w:p>
        </w:tc>
        <w:tc>
          <w:tcPr>
            <w:tcW w:w="4785" w:type="dxa"/>
          </w:tcPr>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lastRenderedPageBreak/>
              <w:t>23.2</w:t>
            </w:r>
            <w:r w:rsidRPr="00825DB5">
              <w:rPr>
                <w:rFonts w:ascii="Times New Roman" w:hAnsi="Times New Roman" w:cs="Times New Roman"/>
              </w:rPr>
              <w:tab/>
              <w:t>Перечень фондовых индексов:</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1. S&amp;P/ASX 200 (Австралия)</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2. ATX (Австрия)</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3. BEL20 (Бельгия)</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4. Bovespa Index (Бразилия)</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5. BUX (Венгрия)</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6. FTSE 100 (Великобритания)</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7. Hang Seng (Гонконг)</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8. DAX (Германия)</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9. OMX Copenhagen 20 (Дания)</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10. TA-35 (</w:t>
            </w:r>
            <w:r w:rsidRPr="00825DB5">
              <w:rPr>
                <w:rFonts w:ascii="Times New Roman" w:hAnsi="Times New Roman" w:cs="Times New Roman"/>
              </w:rPr>
              <w:t>Израиль</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11. S&amp;P BSE SENSEX (</w:t>
            </w:r>
            <w:r w:rsidRPr="00825DB5">
              <w:rPr>
                <w:rFonts w:ascii="Times New Roman" w:hAnsi="Times New Roman" w:cs="Times New Roman"/>
              </w:rPr>
              <w:t>Индия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12. ISEQ 20 (</w:t>
            </w:r>
            <w:r w:rsidRPr="00825DB5">
              <w:rPr>
                <w:rFonts w:ascii="Times New Roman" w:hAnsi="Times New Roman" w:cs="Times New Roman"/>
              </w:rPr>
              <w:t>Ирландия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13. OMX Iceland 8 (</w:t>
            </w:r>
            <w:r w:rsidRPr="00825DB5">
              <w:rPr>
                <w:rFonts w:ascii="Times New Roman" w:hAnsi="Times New Roman" w:cs="Times New Roman"/>
              </w:rPr>
              <w:t>Исландия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14. IBEX 35 (</w:t>
            </w:r>
            <w:r w:rsidRPr="00825DB5">
              <w:rPr>
                <w:rFonts w:ascii="Times New Roman" w:hAnsi="Times New Roman" w:cs="Times New Roman"/>
              </w:rPr>
              <w:t>Испания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15. FTSE MIB (</w:t>
            </w:r>
            <w:r w:rsidRPr="00825DB5">
              <w:rPr>
                <w:rFonts w:ascii="Times New Roman" w:hAnsi="Times New Roman" w:cs="Times New Roman"/>
              </w:rPr>
              <w:t>Италия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16. S&amp;P/TSX Composite (</w:t>
            </w:r>
            <w:r w:rsidRPr="00825DB5">
              <w:rPr>
                <w:rFonts w:ascii="Times New Roman" w:hAnsi="Times New Roman" w:cs="Times New Roman"/>
              </w:rPr>
              <w:t>Канада</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17. Shanghai SE Composite (</w:t>
            </w:r>
            <w:r w:rsidRPr="00825DB5">
              <w:rPr>
                <w:rFonts w:ascii="Times New Roman" w:hAnsi="Times New Roman" w:cs="Times New Roman"/>
              </w:rPr>
              <w:t>Китай</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18. LuxX (</w:t>
            </w:r>
            <w:r w:rsidRPr="00825DB5">
              <w:rPr>
                <w:rFonts w:ascii="Times New Roman" w:hAnsi="Times New Roman" w:cs="Times New Roman"/>
              </w:rPr>
              <w:t>Люксембург</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19. IPC (</w:t>
            </w:r>
            <w:r w:rsidRPr="00825DB5">
              <w:rPr>
                <w:rFonts w:ascii="Times New Roman" w:hAnsi="Times New Roman" w:cs="Times New Roman"/>
              </w:rPr>
              <w:t>Мексика</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20. AEX (</w:t>
            </w:r>
            <w:r w:rsidRPr="00825DB5">
              <w:rPr>
                <w:rFonts w:ascii="Times New Roman" w:hAnsi="Times New Roman" w:cs="Times New Roman"/>
              </w:rPr>
              <w:t>Нидерланды</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21. S&amp;P/NZX 50 (</w:t>
            </w:r>
            <w:r w:rsidRPr="00825DB5">
              <w:rPr>
                <w:rFonts w:ascii="Times New Roman" w:hAnsi="Times New Roman" w:cs="Times New Roman"/>
              </w:rPr>
              <w:t>Новая</w:t>
            </w:r>
            <w:r w:rsidRPr="00825DB5">
              <w:rPr>
                <w:rFonts w:ascii="Times New Roman" w:hAnsi="Times New Roman" w:cs="Times New Roman"/>
                <w:lang w:val="en-US"/>
              </w:rPr>
              <w:t xml:space="preserve"> </w:t>
            </w:r>
            <w:r w:rsidRPr="00825DB5">
              <w:rPr>
                <w:rFonts w:ascii="Times New Roman" w:hAnsi="Times New Roman" w:cs="Times New Roman"/>
              </w:rPr>
              <w:t>Зеландия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22. OBX (</w:t>
            </w:r>
            <w:r w:rsidRPr="00825DB5">
              <w:rPr>
                <w:rFonts w:ascii="Times New Roman" w:hAnsi="Times New Roman" w:cs="Times New Roman"/>
              </w:rPr>
              <w:t>Норвегия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23. WIG (</w:t>
            </w:r>
            <w:r w:rsidRPr="00825DB5">
              <w:rPr>
                <w:rFonts w:ascii="Times New Roman" w:hAnsi="Times New Roman" w:cs="Times New Roman"/>
              </w:rPr>
              <w:t>Польша</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24. PSI 20 (</w:t>
            </w:r>
            <w:r w:rsidRPr="00825DB5">
              <w:rPr>
                <w:rFonts w:ascii="Times New Roman" w:hAnsi="Times New Roman" w:cs="Times New Roman"/>
              </w:rPr>
              <w:t>Португалия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25. Индекс МосБиржи (Россия)</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26. Индекс РТС (Россия)</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27. SAX (Словакия)</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28. SBI TOP (Словения)</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29. Dow Jones (</w:t>
            </w:r>
            <w:r w:rsidRPr="00825DB5">
              <w:rPr>
                <w:rFonts w:ascii="Times New Roman" w:hAnsi="Times New Roman" w:cs="Times New Roman"/>
              </w:rPr>
              <w:t>США</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30. S&amp;P 500 (</w:t>
            </w:r>
            <w:r w:rsidRPr="00825DB5">
              <w:rPr>
                <w:rFonts w:ascii="Times New Roman" w:hAnsi="Times New Roman" w:cs="Times New Roman"/>
              </w:rPr>
              <w:t>США</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31. BIST 100 (</w:t>
            </w:r>
            <w:r w:rsidRPr="00825DB5">
              <w:rPr>
                <w:rFonts w:ascii="Times New Roman" w:hAnsi="Times New Roman" w:cs="Times New Roman"/>
              </w:rPr>
              <w:t>Турция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32. OMX Helsinki 25 (</w:t>
            </w:r>
            <w:r w:rsidRPr="00825DB5">
              <w:rPr>
                <w:rFonts w:ascii="Times New Roman" w:hAnsi="Times New Roman" w:cs="Times New Roman"/>
              </w:rPr>
              <w:t>Финляндия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33. CAC 40 (Франция)</w:t>
            </w:r>
          </w:p>
          <w:p w:rsidR="00825DB5" w:rsidRPr="00825DB5" w:rsidRDefault="00825DB5" w:rsidP="00825DB5">
            <w:pPr>
              <w:pStyle w:val="ConsPlusNormal"/>
              <w:rPr>
                <w:rFonts w:ascii="Times New Roman" w:hAnsi="Times New Roman" w:cs="Times New Roman"/>
              </w:rPr>
            </w:pPr>
            <w:r w:rsidRPr="00825DB5">
              <w:rPr>
                <w:rFonts w:ascii="Times New Roman" w:hAnsi="Times New Roman" w:cs="Times New Roman"/>
              </w:rPr>
              <w:t>34. PX Index (Чешская республика)</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35. S&amp;P/CLX IPSA (</w:t>
            </w:r>
            <w:r w:rsidRPr="00825DB5">
              <w:rPr>
                <w:rFonts w:ascii="Times New Roman" w:hAnsi="Times New Roman" w:cs="Times New Roman"/>
              </w:rPr>
              <w:t>Чили</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36. SMI (</w:t>
            </w:r>
            <w:r w:rsidRPr="00825DB5">
              <w:rPr>
                <w:rFonts w:ascii="Times New Roman" w:hAnsi="Times New Roman" w:cs="Times New Roman"/>
              </w:rPr>
              <w:t>Швейцария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lastRenderedPageBreak/>
              <w:t>37. OMX Stockholm 30 (</w:t>
            </w:r>
            <w:r w:rsidRPr="00825DB5">
              <w:rPr>
                <w:rFonts w:ascii="Times New Roman" w:hAnsi="Times New Roman" w:cs="Times New Roman"/>
              </w:rPr>
              <w:t>Швеция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38. OMX TALLINN_GI (</w:t>
            </w:r>
            <w:r w:rsidRPr="00825DB5">
              <w:rPr>
                <w:rFonts w:ascii="Times New Roman" w:hAnsi="Times New Roman" w:cs="Times New Roman"/>
              </w:rPr>
              <w:t>Эстония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39. FTSE/JSE Top40 (</w:t>
            </w:r>
            <w:r w:rsidRPr="00825DB5">
              <w:rPr>
                <w:rFonts w:ascii="Times New Roman" w:hAnsi="Times New Roman" w:cs="Times New Roman"/>
              </w:rPr>
              <w:t>ЮАР</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40. KOSPI (</w:t>
            </w:r>
            <w:r w:rsidRPr="00825DB5">
              <w:rPr>
                <w:rFonts w:ascii="Times New Roman" w:hAnsi="Times New Roman" w:cs="Times New Roman"/>
              </w:rPr>
              <w:t>Южная</w:t>
            </w:r>
            <w:r w:rsidRPr="00825DB5">
              <w:rPr>
                <w:rFonts w:ascii="Times New Roman" w:hAnsi="Times New Roman" w:cs="Times New Roman"/>
                <w:lang w:val="en-US"/>
              </w:rPr>
              <w:t xml:space="preserve"> </w:t>
            </w:r>
            <w:r w:rsidRPr="00825DB5">
              <w:rPr>
                <w:rFonts w:ascii="Times New Roman" w:hAnsi="Times New Roman" w:cs="Times New Roman"/>
              </w:rPr>
              <w:t>Корея</w:t>
            </w:r>
            <w:r w:rsidRPr="00825DB5">
              <w:rPr>
                <w:rFonts w:ascii="Times New Roman" w:hAnsi="Times New Roman" w:cs="Times New Roman"/>
                <w:lang w:val="en-US"/>
              </w:rPr>
              <w:t>)</w:t>
            </w:r>
          </w:p>
          <w:p w:rsidR="00825DB5" w:rsidRPr="00825DB5" w:rsidRDefault="00825DB5" w:rsidP="00825DB5">
            <w:pPr>
              <w:pStyle w:val="ConsPlusNormal"/>
              <w:rPr>
                <w:rFonts w:ascii="Times New Roman" w:hAnsi="Times New Roman" w:cs="Times New Roman"/>
                <w:lang w:val="en-US"/>
              </w:rPr>
            </w:pPr>
            <w:r w:rsidRPr="00825DB5">
              <w:rPr>
                <w:rFonts w:ascii="Times New Roman" w:hAnsi="Times New Roman" w:cs="Times New Roman"/>
                <w:lang w:val="en-US"/>
              </w:rPr>
              <w:t>41. Nikkei 225 (</w:t>
            </w:r>
            <w:r w:rsidRPr="00825DB5">
              <w:rPr>
                <w:rFonts w:ascii="Times New Roman" w:hAnsi="Times New Roman" w:cs="Times New Roman"/>
              </w:rPr>
              <w:t>Япония</w:t>
            </w:r>
            <w:r w:rsidRPr="00825DB5">
              <w:rPr>
                <w:rFonts w:ascii="Times New Roman" w:hAnsi="Times New Roman" w:cs="Times New Roman"/>
                <w:lang w:val="en-US"/>
              </w:rPr>
              <w:t>)</w:t>
            </w:r>
          </w:p>
          <w:p w:rsidR="00825DB5" w:rsidRPr="009F3747" w:rsidRDefault="00825DB5" w:rsidP="00825DB5">
            <w:pPr>
              <w:pStyle w:val="ConsPlusNormal"/>
              <w:jc w:val="both"/>
              <w:rPr>
                <w:rFonts w:ascii="Times New Roman" w:hAnsi="Times New Roman" w:cs="Times New Roman"/>
              </w:rPr>
            </w:pPr>
            <w:r w:rsidRPr="00825DB5">
              <w:rPr>
                <w:rFonts w:ascii="Times New Roman" w:hAnsi="Times New Roman" w:cs="Times New Roman"/>
              </w:rPr>
              <w:t>42. Индекс МосБиржи голубых фишек (Россия).</w:t>
            </w:r>
          </w:p>
        </w:tc>
      </w:tr>
      <w:tr w:rsidR="00964A71" w:rsidRPr="007E4006" w:rsidTr="003E7696">
        <w:tc>
          <w:tcPr>
            <w:tcW w:w="4785" w:type="dxa"/>
          </w:tcPr>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lastRenderedPageBreak/>
              <w:t>24.</w:t>
            </w:r>
            <w:r w:rsidRPr="00587F1A">
              <w:rPr>
                <w:rFonts w:ascii="Times New Roman" w:hAnsi="Times New Roman" w:cs="Times New Roman"/>
              </w:rPr>
              <w:tab/>
              <w:t>Описание рисков, связанных с инвестированием.</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Настоящее описание рисков не раскрывает информации обо всех рисках вследствие разнообразия ситуаций, возникающих при инвестировании.</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рыночный риск, связанный с колебаниями курсов валют, процентных ставок;</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ценовой риск, проявляющийся в изменении цен на ценные бумаги и финансовые инструменты, который может привести к падению стоимости активов фонда;</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 xml:space="preserve">риск противоправных действий </w:t>
            </w:r>
            <w:r w:rsidRPr="00587F1A">
              <w:rPr>
                <w:rFonts w:ascii="Times New Roman" w:hAnsi="Times New Roman" w:cs="Times New Roman"/>
              </w:rPr>
              <w:lastRenderedPageBreak/>
              <w:t>третьих лиц в отношении имущества, составляющего фонд;</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рыночной ликвидности, связанный с потенциальной невозможностью реализовать активы по благоприятным ценам;</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исполнении заявок на совершение сделок, и прочими обстоятельствами;</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связанный с изменениями действующего законодательства;</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w:t>
            </w:r>
            <w:r w:rsidRPr="00587F1A">
              <w:rPr>
                <w:rFonts w:ascii="Times New Roman" w:hAnsi="Times New Roman" w:cs="Times New Roman"/>
              </w:rPr>
              <w:tab/>
              <w:t>риск возникновения форс-мажорных обстоятельств, таких как природные катаклизмы, техногенные катастрофы, массовые беспорядки, забастовки, боевые и военные действия.</w:t>
            </w:r>
          </w:p>
          <w:p w:rsidR="00587F1A" w:rsidRPr="00587F1A" w:rsidRDefault="00587F1A" w:rsidP="00587F1A">
            <w:pPr>
              <w:pStyle w:val="ConsPlusNormal"/>
              <w:jc w:val="both"/>
              <w:rPr>
                <w:rFonts w:ascii="Times New Roman" w:hAnsi="Times New Roman" w:cs="Times New Roman"/>
              </w:rPr>
            </w:pPr>
            <w:r w:rsidRPr="00587F1A">
              <w:rPr>
                <w:rFonts w:ascii="Times New Roman" w:hAnsi="Times New Roman" w:cs="Times New Roman"/>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964A71" w:rsidRPr="00B27590" w:rsidRDefault="00587F1A" w:rsidP="00587F1A">
            <w:pPr>
              <w:pStyle w:val="ConsPlusNormal"/>
              <w:adjustRightInd/>
              <w:ind w:firstLine="0"/>
              <w:jc w:val="both"/>
              <w:rPr>
                <w:rFonts w:ascii="Times New Roman" w:hAnsi="Times New Roman" w:cs="Times New Roman"/>
              </w:rPr>
            </w:pPr>
            <w:r w:rsidRPr="00587F1A">
              <w:rPr>
                <w:rFonts w:ascii="Times New Roman" w:hAnsi="Times New Roman" w:cs="Times New Roman"/>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tc>
        <w:tc>
          <w:tcPr>
            <w:tcW w:w="4785" w:type="dxa"/>
          </w:tcPr>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lastRenderedPageBreak/>
              <w:t>24.</w:t>
            </w:r>
            <w:r w:rsidRPr="00964A71">
              <w:rPr>
                <w:rFonts w:ascii="Times New Roman" w:hAnsi="Times New Roman" w:cs="Times New Roman"/>
              </w:rPr>
              <w:tab/>
              <w:t>Описание рисков, связанных с инвестированием.</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Стоимость объектов инвестирования, составляющих фонд,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Настоящее описание рисков не раскрывает информации обо всех рисках вследствие разнообразия ситуаций, возникающих при инвестировании.</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1)</w:t>
            </w:r>
            <w:r w:rsidRPr="00964A71">
              <w:rPr>
                <w:rFonts w:ascii="Times New Roman" w:hAnsi="Times New Roman" w:cs="Times New Roman"/>
              </w:rPr>
              <w:tab/>
              <w:t>Нефинансовые риски.</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К нефинансовым рискам, в том числе, могут быть отнесены следующие риски:</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w:t>
            </w:r>
            <w:r w:rsidRPr="00964A71">
              <w:rPr>
                <w:rFonts w:ascii="Times New Roman" w:hAnsi="Times New Roman" w:cs="Times New Roman"/>
              </w:rPr>
              <w:lastRenderedPageBreak/>
              <w:t xml:space="preserve">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 </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 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При этом крайне затруднительно прогнозировать степень влияния таких изменений на деятельность по управлению фондом или </w:t>
            </w:r>
            <w:r w:rsidRPr="00964A71">
              <w:rPr>
                <w:rFonts w:ascii="Times New Roman" w:hAnsi="Times New Roman" w:cs="Times New Roman"/>
              </w:rPr>
              <w:lastRenderedPageBreak/>
              <w:t>финансовый результат инвестора.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риск возникновения форс-мажорных обстоятельств, таких как природные катаклизмы, техногенные катастрофы, массовые беспорядки, забастовки, боевые и военные действия;</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 риск противоправных действий третьих лиц в отношении имущества, составляющего фонд;</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2)</w:t>
            </w:r>
            <w:r w:rsidRPr="00964A71">
              <w:rPr>
                <w:rFonts w:ascii="Times New Roman" w:hAnsi="Times New Roman" w:cs="Times New Roman"/>
              </w:rPr>
              <w:tab/>
              <w:t>Финансовые риски.</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К финансовым рискам, в том числе, могут быть отнесены следующие риски:</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 xml:space="preserve">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w:t>
            </w:r>
            <w:r w:rsidRPr="00964A71">
              <w:rPr>
                <w:rFonts w:ascii="Times New Roman" w:hAnsi="Times New Roman" w:cs="Times New Roman"/>
              </w:rPr>
              <w:lastRenderedPageBreak/>
              <w:t>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К числу кредитных рисков, в том числе, относятся:</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 Инвестор несет риск дефолта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w:t>
            </w:r>
            <w:r w:rsidRPr="00964A71">
              <w:rPr>
                <w:rFonts w:ascii="Times New Roman" w:hAnsi="Times New Roman" w:cs="Times New Roman"/>
              </w:rPr>
              <w:tab/>
              <w:t>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Инвестированию в иностранные ценные бумаги присущи описанные выше риски со следующими особенностями. Иностранные финансовые инструменты и активы могут быть приобретены за рубежом или на российском, в том числе организованном рынке.</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w:t>
            </w:r>
            <w:r w:rsidRPr="00964A71">
              <w:rPr>
                <w:rFonts w:ascii="Times New Roman" w:hAnsi="Times New Roman" w:cs="Times New Roman"/>
              </w:rPr>
              <w:lastRenderedPageBreak/>
              <w:t xml:space="preserve">свойственными странам, где выпущены и/или обращаются эти активы. </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964A71" w:rsidRPr="00964A71" w:rsidRDefault="00964A71" w:rsidP="00BB232D">
            <w:pPr>
              <w:pStyle w:val="ConsPlusNormal"/>
              <w:jc w:val="both"/>
              <w:rPr>
                <w:rFonts w:ascii="Times New Roman" w:hAnsi="Times New Roman" w:cs="Times New Roman"/>
              </w:rPr>
            </w:pPr>
            <w:r w:rsidRPr="00964A71">
              <w:rPr>
                <w:rFonts w:ascii="Times New Roman" w:hAnsi="Times New Roman" w:cs="Times New Roman"/>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964A71" w:rsidRPr="00B27590" w:rsidRDefault="00964A71" w:rsidP="00BB232D">
            <w:pPr>
              <w:pStyle w:val="ConsPlusNormal"/>
              <w:jc w:val="both"/>
              <w:rPr>
                <w:rFonts w:ascii="Times New Roman" w:hAnsi="Times New Roman" w:cs="Times New Roman"/>
              </w:rPr>
            </w:pPr>
            <w:r w:rsidRPr="00964A71">
              <w:rPr>
                <w:rFonts w:ascii="Times New Roman" w:hAnsi="Times New Roman" w:cs="Times New Roman"/>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tc>
      </w:tr>
      <w:tr w:rsidR="00D80A16" w:rsidRPr="007E4006" w:rsidTr="003E7696">
        <w:tc>
          <w:tcPr>
            <w:tcW w:w="4785" w:type="dxa"/>
          </w:tcPr>
          <w:p w:rsidR="00FF12AA" w:rsidRPr="004133CC" w:rsidRDefault="00FF12AA" w:rsidP="00F37791">
            <w:pPr>
              <w:pStyle w:val="ConsPlusNormal"/>
              <w:numPr>
                <w:ilvl w:val="0"/>
                <w:numId w:val="44"/>
              </w:numPr>
              <w:adjustRightInd/>
              <w:ind w:left="0" w:firstLine="142"/>
              <w:jc w:val="both"/>
              <w:rPr>
                <w:rFonts w:ascii="Times New Roman" w:hAnsi="Times New Roman" w:cs="Times New Roman"/>
              </w:rPr>
            </w:pPr>
            <w:r w:rsidRPr="004133CC">
              <w:rPr>
                <w:rFonts w:ascii="Times New Roman" w:hAnsi="Times New Roman" w:cs="Times New Roman"/>
              </w:rPr>
              <w:lastRenderedPageBreak/>
              <w:t>Порядок подачи заявок на приобретение инвестиционных паев:</w:t>
            </w:r>
          </w:p>
          <w:p w:rsidR="00FF12AA" w:rsidRPr="004133CC" w:rsidRDefault="00FF12AA" w:rsidP="00FF12AA">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 w:history="1">
              <w:r w:rsidRPr="004133CC">
                <w:rPr>
                  <w:rFonts w:ascii="Times New Roman" w:hAnsi="Times New Roman" w:cs="Times New Roman"/>
                </w:rPr>
                <w:t>приложением № 1 к настоящим Правилам</w:t>
              </w:r>
            </w:hyperlink>
            <w:r w:rsidRPr="004133CC">
              <w:rPr>
                <w:rFonts w:ascii="Times New Roman" w:hAnsi="Times New Roman" w:cs="Times New Roman"/>
              </w:rPr>
              <w:t>, подаются в пунктах приема заявок инвестором или его уполномоченным представителем.</w:t>
            </w:r>
          </w:p>
          <w:p w:rsidR="00FF12AA" w:rsidRPr="004133CC" w:rsidRDefault="00FF12AA" w:rsidP="00FF12AA">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_1" w:history="1">
              <w:r w:rsidRPr="004133CC">
                <w:rPr>
                  <w:rFonts w:ascii="Times New Roman" w:hAnsi="Times New Roman" w:cs="Times New Roman"/>
                </w:rPr>
                <w:t>приложением № 2 к настоящим Правилам</w:t>
              </w:r>
            </w:hyperlink>
            <w:r w:rsidRPr="004133CC">
              <w:rPr>
                <w:rFonts w:ascii="Times New Roman" w:hAnsi="Times New Roman" w:cs="Times New Roman"/>
              </w:rPr>
              <w:t>, подаются в пунктах приема заявок номинальным держателем или его уполномоченным представителем.</w:t>
            </w:r>
          </w:p>
          <w:p w:rsidR="00FF12AA" w:rsidRPr="004133CC" w:rsidRDefault="00FF12AA" w:rsidP="00FF12AA">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(в случае отсутствия у заявителя лицевого счета в реестре владельцев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C825BF">
              <w:rPr>
                <w:rFonts w:ascii="Times New Roman" w:hAnsi="Times New Roman" w:cs="Times New Roman"/>
              </w:rPr>
              <w:t>123112, город Москва, Пресненская набережная, дом 8, строение 1, этаж 12, пом. 1.</w:t>
            </w:r>
          </w:p>
          <w:p w:rsidR="00FF12AA" w:rsidRDefault="00FF12AA" w:rsidP="00FF12AA">
            <w:pPr>
              <w:pStyle w:val="ConsPlusNormal"/>
              <w:ind w:firstLine="709"/>
              <w:jc w:val="both"/>
              <w:rPr>
                <w:rFonts w:ascii="Times New Roman" w:hAnsi="Times New Roman" w:cs="Times New Roman"/>
              </w:rPr>
            </w:pPr>
            <w:r w:rsidRPr="004133CC">
              <w:rPr>
                <w:rFonts w:ascii="Times New Roman" w:hAnsi="Times New Roman" w:cs="Times New Roman"/>
              </w:rPr>
              <w:t xml:space="preserve">При этом подпись лица в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 Датой и временем приема заявки на приобретение инвестиционных паев, направленной посредством почтовой связи считается дата и время получения такого заказного отправления управляющей </w:t>
            </w:r>
            <w:r w:rsidRPr="004133CC">
              <w:rPr>
                <w:rFonts w:ascii="Times New Roman" w:hAnsi="Times New Roman" w:cs="Times New Roman"/>
              </w:rPr>
              <w:lastRenderedPageBreak/>
              <w:t>компанией.</w:t>
            </w:r>
          </w:p>
          <w:p w:rsidR="00FF12AA" w:rsidRDefault="00FF12AA" w:rsidP="00FF12AA">
            <w:pPr>
              <w:pStyle w:val="ConsPlusNormal"/>
              <w:ind w:firstLine="709"/>
              <w:jc w:val="both"/>
              <w:rPr>
                <w:rFonts w:ascii="Times New Roman" w:hAnsi="Times New Roman" w:cs="Times New Roman"/>
              </w:rPr>
            </w:pPr>
            <w:r w:rsidRPr="004133CC">
              <w:rPr>
                <w:rFonts w:ascii="Times New Roman" w:hAnsi="Times New Roman" w:cs="Times New Roman"/>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D80A16" w:rsidRPr="004C00BD" w:rsidRDefault="00FF12AA" w:rsidP="00FF12AA">
            <w:pPr>
              <w:pStyle w:val="ConsPlusNormal"/>
              <w:ind w:firstLine="227"/>
              <w:jc w:val="both"/>
              <w:rPr>
                <w:rFonts w:ascii="Times New Roman" w:hAnsi="Times New Roman" w:cs="Times New Roman"/>
              </w:rPr>
            </w:pPr>
            <w:r w:rsidRPr="004133CC">
              <w:rPr>
                <w:rFonts w:ascii="Times New Roman" w:hAnsi="Times New Roman" w:cs="Times New Roman"/>
              </w:rPr>
              <w:t>Заявки на приобретение инвестиционных паев, направленные факсом или курьером, не принимаются.</w:t>
            </w:r>
          </w:p>
        </w:tc>
        <w:tc>
          <w:tcPr>
            <w:tcW w:w="4785" w:type="dxa"/>
          </w:tcPr>
          <w:p w:rsidR="00FF12AA" w:rsidRPr="004133CC" w:rsidRDefault="00FF12AA" w:rsidP="00E57ED4">
            <w:pPr>
              <w:pStyle w:val="ConsPlusNormal"/>
              <w:numPr>
                <w:ilvl w:val="0"/>
                <w:numId w:val="45"/>
              </w:numPr>
              <w:adjustRightInd/>
              <w:ind w:left="36" w:firstLine="283"/>
              <w:jc w:val="both"/>
              <w:rPr>
                <w:rFonts w:ascii="Times New Roman" w:hAnsi="Times New Roman" w:cs="Times New Roman"/>
              </w:rPr>
            </w:pPr>
            <w:r w:rsidRPr="004133CC">
              <w:rPr>
                <w:rFonts w:ascii="Times New Roman" w:hAnsi="Times New Roman" w:cs="Times New Roman"/>
              </w:rPr>
              <w:lastRenderedPageBreak/>
              <w:t>Порядок подачи заявок на приобретение инвестиционных паев:</w:t>
            </w:r>
          </w:p>
          <w:p w:rsidR="00FF12AA" w:rsidRPr="004133CC" w:rsidRDefault="00FF12AA" w:rsidP="00FF12AA">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 w:history="1">
              <w:r w:rsidRPr="004133CC">
                <w:rPr>
                  <w:rFonts w:ascii="Times New Roman" w:hAnsi="Times New Roman" w:cs="Times New Roman"/>
                </w:rPr>
                <w:t>приложением № 1 к настоящим Правилам</w:t>
              </w:r>
            </w:hyperlink>
            <w:r w:rsidRPr="004133CC">
              <w:rPr>
                <w:rFonts w:ascii="Times New Roman" w:hAnsi="Times New Roman" w:cs="Times New Roman"/>
              </w:rPr>
              <w:t>, подаются в пунктах приема заявок инвестором или его уполномоченным представителем.</w:t>
            </w:r>
          </w:p>
          <w:p w:rsidR="00FF12AA" w:rsidRPr="004133CC" w:rsidRDefault="00FF12AA" w:rsidP="00FF12AA">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оформленные в соответствии с </w:t>
            </w:r>
            <w:hyperlink w:anchor="_Заявка_на_приобретение_1" w:history="1">
              <w:r w:rsidRPr="004133CC">
                <w:rPr>
                  <w:rFonts w:ascii="Times New Roman" w:hAnsi="Times New Roman" w:cs="Times New Roman"/>
                </w:rPr>
                <w:t>приложением № 2 к настоящим Правилам</w:t>
              </w:r>
            </w:hyperlink>
            <w:r w:rsidRPr="004133CC">
              <w:rPr>
                <w:rFonts w:ascii="Times New Roman" w:hAnsi="Times New Roman" w:cs="Times New Roman"/>
              </w:rPr>
              <w:t>, подаются в пунктах приема заявок номинальным держателем или его уполномоченным представителем.</w:t>
            </w:r>
          </w:p>
          <w:p w:rsidR="00FF12AA" w:rsidRPr="004133CC" w:rsidRDefault="00FF12AA" w:rsidP="00FF12AA">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приобретение инвестиционных паев, вместе с комплектом документов, необходимых для открытия лицевого счета в реестре владельцев инвестиционных паев (в случае отсутствия у заявителя лицевого счета в реестре владельцев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C825BF">
              <w:rPr>
                <w:rFonts w:ascii="Times New Roman" w:hAnsi="Times New Roman" w:cs="Times New Roman"/>
              </w:rPr>
              <w:t xml:space="preserve">123112, город Москва, Пресненская набережная, дом 8, строение 1, </w:t>
            </w:r>
            <w:r w:rsidR="003347C8" w:rsidRPr="003724B3">
              <w:rPr>
                <w:rFonts w:ascii="Times New Roman" w:hAnsi="Times New Roman" w:cs="Times New Roman"/>
              </w:rPr>
              <w:t>этаж 1</w:t>
            </w:r>
            <w:r w:rsidR="003347C8">
              <w:rPr>
                <w:rFonts w:ascii="Times New Roman" w:hAnsi="Times New Roman" w:cs="Times New Roman"/>
              </w:rPr>
              <w:t>1</w:t>
            </w:r>
            <w:r w:rsidR="003347C8" w:rsidRPr="003724B3">
              <w:rPr>
                <w:rFonts w:ascii="Times New Roman" w:hAnsi="Times New Roman" w:cs="Times New Roman"/>
              </w:rPr>
              <w:t xml:space="preserve">, пом. </w:t>
            </w:r>
            <w:r w:rsidR="003347C8">
              <w:rPr>
                <w:rFonts w:ascii="Times New Roman" w:hAnsi="Times New Roman" w:cs="Times New Roman"/>
                <w:lang w:val="en-US"/>
              </w:rPr>
              <w:t>IN</w:t>
            </w:r>
            <w:r w:rsidR="003347C8">
              <w:rPr>
                <w:rFonts w:ascii="Times New Roman" w:hAnsi="Times New Roman" w:cs="Times New Roman"/>
              </w:rPr>
              <w:t>, ком. 11</w:t>
            </w:r>
            <w:r w:rsidRPr="00C825BF">
              <w:rPr>
                <w:rFonts w:ascii="Times New Roman" w:hAnsi="Times New Roman" w:cs="Times New Roman"/>
              </w:rPr>
              <w:t>.</w:t>
            </w:r>
          </w:p>
          <w:p w:rsidR="00FF12AA" w:rsidRDefault="00FF12AA" w:rsidP="00FF12AA">
            <w:pPr>
              <w:pStyle w:val="ConsPlusNormal"/>
              <w:ind w:firstLine="709"/>
              <w:jc w:val="both"/>
              <w:rPr>
                <w:rFonts w:ascii="Times New Roman" w:hAnsi="Times New Roman" w:cs="Times New Roman"/>
              </w:rPr>
            </w:pPr>
            <w:r w:rsidRPr="004133CC">
              <w:rPr>
                <w:rFonts w:ascii="Times New Roman" w:hAnsi="Times New Roman" w:cs="Times New Roman"/>
              </w:rPr>
              <w:t xml:space="preserve">При этом подпись лица в заявке на приобретение инвестиционных паев, и иных документах, необходимых для открытия лицевого счета в реестре владельцев инвестиционных паев, должна быть удостоверена нотариально. Датой и временем приема заявки на приобретение инвестиционных паев, направленной посредством почтовой связи считается дата и время получения </w:t>
            </w:r>
            <w:r w:rsidRPr="004133CC">
              <w:rPr>
                <w:rFonts w:ascii="Times New Roman" w:hAnsi="Times New Roman" w:cs="Times New Roman"/>
              </w:rPr>
              <w:lastRenderedPageBreak/>
              <w:t>такого заказного отправления управляющей компанией.</w:t>
            </w:r>
          </w:p>
          <w:p w:rsidR="00FF12AA" w:rsidRDefault="00FF12AA" w:rsidP="00FF12AA">
            <w:pPr>
              <w:pStyle w:val="ConsPlusNormal"/>
              <w:ind w:firstLine="709"/>
              <w:jc w:val="both"/>
              <w:rPr>
                <w:rFonts w:ascii="Times New Roman" w:hAnsi="Times New Roman" w:cs="Times New Roman"/>
              </w:rPr>
            </w:pPr>
            <w:r w:rsidRPr="004133CC">
              <w:rPr>
                <w:rFonts w:ascii="Times New Roman" w:hAnsi="Times New Roman" w:cs="Times New Roman"/>
              </w:rPr>
              <w:t>В случае отказа в приеме заявки на приобретение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FF12AA" w:rsidRPr="00F92278" w:rsidRDefault="00FF12AA" w:rsidP="00FF12AA">
            <w:pPr>
              <w:pStyle w:val="ConsPlusNormal"/>
              <w:ind w:firstLine="709"/>
              <w:jc w:val="both"/>
              <w:rPr>
                <w:rFonts w:ascii="Times New Roman" w:hAnsi="Times New Roman" w:cs="Times New Roman"/>
              </w:rPr>
            </w:pPr>
            <w:bookmarkStart w:id="4" w:name="_Hlk15561516"/>
            <w:r w:rsidRPr="00F92278">
              <w:rPr>
                <w:rFonts w:ascii="Times New Roman" w:hAnsi="Times New Roman" w:cs="Times New Roman"/>
              </w:rPr>
              <w:t xml:space="preserve">Заявки на приобретение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«ИНФИНИТУМ» - «Финансовая платформа», доступ к которому осуществляется в сети Интернет по адресу platform.finance. </w:t>
            </w:r>
          </w:p>
          <w:p w:rsidR="00FF12AA" w:rsidRPr="00F92278" w:rsidRDefault="00FF12AA" w:rsidP="00FF12AA">
            <w:pPr>
              <w:pStyle w:val="ConsPlusNormal"/>
              <w:ind w:firstLine="709"/>
              <w:jc w:val="both"/>
              <w:rPr>
                <w:rFonts w:ascii="Times New Roman" w:hAnsi="Times New Roman" w:cs="Times New Roman"/>
              </w:rPr>
            </w:pPr>
            <w:r w:rsidRPr="00F92278">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размещенными на сайте «Финансовой платформы» по адресу platform.finance. </w:t>
            </w:r>
          </w:p>
          <w:p w:rsidR="00FF12AA" w:rsidRPr="00F92278" w:rsidRDefault="00FF12AA" w:rsidP="00FF12AA">
            <w:pPr>
              <w:pStyle w:val="ConsPlusNormal"/>
              <w:ind w:firstLine="709"/>
              <w:jc w:val="both"/>
              <w:rPr>
                <w:rFonts w:ascii="Times New Roman" w:hAnsi="Times New Roman" w:cs="Times New Roman"/>
              </w:rPr>
            </w:pPr>
            <w:r w:rsidRPr="00F92278">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FF12AA" w:rsidRPr="00F92278" w:rsidRDefault="00FF12AA" w:rsidP="00FF12AA">
            <w:pPr>
              <w:pStyle w:val="ConsPlusNormal"/>
              <w:ind w:firstLine="709"/>
              <w:jc w:val="both"/>
              <w:rPr>
                <w:rFonts w:ascii="Times New Roman" w:hAnsi="Times New Roman" w:cs="Times New Roman"/>
              </w:rPr>
            </w:pPr>
            <w:r w:rsidRPr="00F92278">
              <w:rPr>
                <w:rFonts w:ascii="Times New Roman" w:hAnsi="Times New Roman" w:cs="Times New Roman"/>
              </w:rPr>
              <w:t>Заявка на приобретение инвестиционных паев, поданная в виде электронного документа, должна быть подписана простой электронной подписью физического лица.</w:t>
            </w:r>
          </w:p>
          <w:p w:rsidR="00FF12AA" w:rsidRPr="00F92278" w:rsidRDefault="00FF12AA" w:rsidP="00FF12AA">
            <w:pPr>
              <w:pStyle w:val="ConsPlusNormal"/>
              <w:ind w:firstLine="709"/>
              <w:jc w:val="both"/>
              <w:rPr>
                <w:rFonts w:ascii="Times New Roman" w:hAnsi="Times New Roman" w:cs="Times New Roman"/>
              </w:rPr>
            </w:pPr>
            <w:r w:rsidRPr="00F92278">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FF12AA" w:rsidRPr="004133CC" w:rsidRDefault="00FF12AA" w:rsidP="00FF12AA">
            <w:pPr>
              <w:pStyle w:val="ConsPlusNormal"/>
              <w:ind w:firstLine="709"/>
              <w:jc w:val="both"/>
              <w:rPr>
                <w:rFonts w:ascii="Times New Roman" w:hAnsi="Times New Roman" w:cs="Times New Roman"/>
              </w:rPr>
            </w:pPr>
            <w:r w:rsidRPr="00F92278">
              <w:rPr>
                <w:rFonts w:ascii="Times New Roman" w:hAnsi="Times New Roman" w:cs="Times New Roman"/>
              </w:rPr>
              <w:t>Отказ управляющей компании в приеме заявки на приобретение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bookmarkEnd w:id="4"/>
          <w:p w:rsidR="00D80A16" w:rsidRPr="004C00BD" w:rsidRDefault="00FF12AA" w:rsidP="00FF12AA">
            <w:pPr>
              <w:pStyle w:val="ConsPlusNormal"/>
              <w:ind w:firstLine="709"/>
              <w:jc w:val="both"/>
              <w:rPr>
                <w:rFonts w:ascii="Times New Roman" w:hAnsi="Times New Roman" w:cs="Times New Roman"/>
              </w:rPr>
            </w:pPr>
            <w:r w:rsidRPr="004133CC">
              <w:rPr>
                <w:rFonts w:ascii="Times New Roman" w:hAnsi="Times New Roman" w:cs="Times New Roman"/>
              </w:rPr>
              <w:t>Заявки на приобретение инвестиционных паев, направленные факсом или курьером, не принимаются.</w:t>
            </w:r>
          </w:p>
        </w:tc>
      </w:tr>
      <w:tr w:rsidR="00CA3401" w:rsidRPr="007E4006" w:rsidTr="003E7696">
        <w:tc>
          <w:tcPr>
            <w:tcW w:w="4785" w:type="dxa"/>
          </w:tcPr>
          <w:p w:rsidR="00AC72B0" w:rsidRPr="00AC72B0" w:rsidRDefault="00AC72B0" w:rsidP="00AC72B0">
            <w:pPr>
              <w:pStyle w:val="ConsPlusNormal"/>
              <w:ind w:left="142" w:firstLine="284"/>
              <w:rPr>
                <w:rFonts w:ascii="Times New Roman" w:hAnsi="Times New Roman" w:cs="Times New Roman"/>
              </w:rPr>
            </w:pPr>
            <w:r w:rsidRPr="00AC72B0">
              <w:rPr>
                <w:rFonts w:ascii="Times New Roman" w:hAnsi="Times New Roman" w:cs="Times New Roman"/>
              </w:rPr>
              <w:lastRenderedPageBreak/>
              <w:t>66.</w:t>
            </w:r>
            <w:r w:rsidRPr="00AC72B0">
              <w:rPr>
                <w:rFonts w:ascii="Times New Roman" w:hAnsi="Times New Roman" w:cs="Times New Roman"/>
              </w:rPr>
              <w:tab/>
              <w:t>Размер надбавки, на которую увеличивается расчетная стоимость инвестиционного пая, при подаче заявки на приобретение инвестиционных паев управляющей компании и агентам</w:t>
            </w:r>
            <w:r>
              <w:rPr>
                <w:rFonts w:ascii="Times New Roman" w:hAnsi="Times New Roman" w:cs="Times New Roman"/>
              </w:rPr>
              <w:t xml:space="preserve"> </w:t>
            </w:r>
            <w:r w:rsidRPr="00AC72B0">
              <w:rPr>
                <w:rFonts w:ascii="Times New Roman" w:hAnsi="Times New Roman" w:cs="Times New Roman"/>
              </w:rPr>
              <w:t>составляет:</w:t>
            </w:r>
          </w:p>
          <w:p w:rsidR="00AC72B0" w:rsidRPr="00AC72B0" w:rsidRDefault="00AC72B0" w:rsidP="00AC72B0">
            <w:pPr>
              <w:pStyle w:val="ConsPlusNormal"/>
              <w:ind w:left="142" w:firstLine="284"/>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r>
            <w:r w:rsidR="005D0BDF" w:rsidRPr="004133CC">
              <w:rPr>
                <w:rFonts w:ascii="Times New Roman" w:hAnsi="Times New Roman" w:cs="Times New Roman"/>
              </w:rPr>
              <w:t xml:space="preserve">0,5% (Ноль целых пять десятых) </w:t>
            </w:r>
            <w:r w:rsidRPr="00AC72B0">
              <w:rPr>
                <w:rFonts w:ascii="Times New Roman" w:hAnsi="Times New Roman" w:cs="Times New Roman"/>
              </w:rPr>
              <w:t xml:space="preserve">процента от </w:t>
            </w:r>
            <w:r w:rsidRPr="00AC72B0">
              <w:rPr>
                <w:rFonts w:ascii="Times New Roman" w:hAnsi="Times New Roman" w:cs="Times New Roman"/>
              </w:rPr>
              <w:lastRenderedPageBreak/>
              <w:t>расчетной стоимости одного инвестиционного пая при перечислении в оплату инвестиционных паев денежных средств в размере менее 1 000 000 (Один миллион) рублей;</w:t>
            </w:r>
          </w:p>
          <w:p w:rsidR="00AC72B0" w:rsidRPr="00AC72B0" w:rsidRDefault="00AC72B0" w:rsidP="00AC72B0">
            <w:pPr>
              <w:pStyle w:val="ConsPlusNormal"/>
              <w:ind w:left="142" w:firstLine="284"/>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 (Ноль) процентов при перечислении в оплату инвестиционных паев денежных средств в размере равном или более 1 000 000 (Один миллион) рублей.</w:t>
            </w:r>
          </w:p>
          <w:p w:rsidR="00CA3401" w:rsidRPr="005337C0" w:rsidRDefault="00CA3401" w:rsidP="00AC72B0">
            <w:pPr>
              <w:pStyle w:val="ConsPlusNormal"/>
              <w:ind w:left="142" w:firstLine="284"/>
              <w:jc w:val="both"/>
              <w:rPr>
                <w:rFonts w:ascii="Times New Roman" w:hAnsi="Times New Roman" w:cs="Times New Roman"/>
              </w:rPr>
            </w:pPr>
          </w:p>
        </w:tc>
        <w:tc>
          <w:tcPr>
            <w:tcW w:w="4785" w:type="dxa"/>
          </w:tcPr>
          <w:p w:rsidR="00AC72B0" w:rsidRPr="00AC72B0" w:rsidRDefault="00AC72B0" w:rsidP="00AC72B0">
            <w:pPr>
              <w:pStyle w:val="ConsPlusNormal"/>
              <w:ind w:firstLine="319"/>
              <w:rPr>
                <w:rFonts w:ascii="Times New Roman" w:hAnsi="Times New Roman" w:cs="Times New Roman"/>
              </w:rPr>
            </w:pPr>
            <w:r w:rsidRPr="00AC72B0">
              <w:rPr>
                <w:rFonts w:ascii="Times New Roman" w:hAnsi="Times New Roman" w:cs="Times New Roman"/>
              </w:rPr>
              <w:lastRenderedPageBreak/>
              <w:t>66.</w:t>
            </w:r>
            <w:r w:rsidRPr="00AC72B0">
              <w:rPr>
                <w:rFonts w:ascii="Times New Roman" w:hAnsi="Times New Roman" w:cs="Times New Roman"/>
              </w:rPr>
              <w:tab/>
              <w:t xml:space="preserve">Размер надбавки, на которую увеличивается расчетная стоимость инвестиционного пая, при подаче заявки на приобретение инвестиционных паев управляющей компании и агентам, за исключением агента АО «Специализированный </w:t>
            </w:r>
            <w:r w:rsidRPr="00AC72B0">
              <w:rPr>
                <w:rFonts w:ascii="Times New Roman" w:hAnsi="Times New Roman" w:cs="Times New Roman"/>
              </w:rPr>
              <w:lastRenderedPageBreak/>
              <w:t>депозитарий «ИНФИНИТУМ», составляет:</w:t>
            </w:r>
          </w:p>
          <w:p w:rsidR="00AC72B0" w:rsidRPr="00AC72B0" w:rsidRDefault="00AC72B0" w:rsidP="00AC72B0">
            <w:pPr>
              <w:pStyle w:val="ConsPlusNormal"/>
              <w:ind w:firstLine="319"/>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r>
            <w:r w:rsidR="005D0BDF" w:rsidRPr="004133CC">
              <w:rPr>
                <w:rFonts w:ascii="Times New Roman" w:hAnsi="Times New Roman" w:cs="Times New Roman"/>
              </w:rPr>
              <w:t xml:space="preserve">0,5% (Ноль целых пять десятых) </w:t>
            </w:r>
            <w:r w:rsidRPr="00AC72B0">
              <w:rPr>
                <w:rFonts w:ascii="Times New Roman" w:hAnsi="Times New Roman" w:cs="Times New Roman"/>
              </w:rPr>
              <w:t>процента от расчетной стоимости одного инвестиционного пая при перечислении в оплату инвестиционных паев денежных средств в размере менее 1 000 000 (Один миллион) рублей;</w:t>
            </w:r>
          </w:p>
          <w:p w:rsidR="00AC72B0" w:rsidRPr="00AC72B0" w:rsidRDefault="00AC72B0" w:rsidP="00AC72B0">
            <w:pPr>
              <w:pStyle w:val="ConsPlusNormal"/>
              <w:ind w:firstLine="319"/>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 (Ноль) процентов при перечислении в оплату инвестиционных паев денежных средств в размере равном или более 1 000 000 (Один миллион) рублей.</w:t>
            </w:r>
          </w:p>
          <w:p w:rsidR="00AC72B0" w:rsidRPr="00AC72B0" w:rsidRDefault="00AC72B0" w:rsidP="00AC72B0">
            <w:pPr>
              <w:pStyle w:val="ConsPlusNormal"/>
              <w:ind w:firstLine="319"/>
              <w:rPr>
                <w:rFonts w:ascii="Times New Roman" w:hAnsi="Times New Roman" w:cs="Times New Roman"/>
              </w:rPr>
            </w:pPr>
            <w:r w:rsidRPr="00AC72B0">
              <w:rPr>
                <w:rFonts w:ascii="Times New Roman" w:hAnsi="Times New Roman" w:cs="Times New Roman"/>
              </w:rPr>
              <w:t>Размер надбавки, на которую увеличивается расчетная стоимость инвестиционного пая, при подаче заявки на приобретение инвестиционных паев агенту АО «Специализированный депозитарий «ИНФИНИТУМ», составляет:</w:t>
            </w:r>
          </w:p>
          <w:p w:rsidR="00CA3401" w:rsidRPr="005337C0" w:rsidRDefault="00AC72B0" w:rsidP="00AC72B0">
            <w:pPr>
              <w:pStyle w:val="ConsPlusNormal"/>
              <w:ind w:firstLine="319"/>
              <w:jc w:val="both"/>
              <w:rPr>
                <w:rFonts w:ascii="Times New Roman" w:hAnsi="Times New Roman" w:cs="Times New Roman"/>
              </w:rPr>
            </w:pPr>
            <w:r w:rsidRPr="00AC72B0">
              <w:rPr>
                <w:rFonts w:ascii="Times New Roman" w:hAnsi="Times New Roman" w:cs="Times New Roman"/>
              </w:rPr>
              <w:t>-</w:t>
            </w:r>
            <w:r w:rsidRPr="00AC72B0">
              <w:rPr>
                <w:rFonts w:ascii="Times New Roman" w:hAnsi="Times New Roman" w:cs="Times New Roman"/>
              </w:rPr>
              <w:tab/>
              <w:t>0,5 (Ноль целых пять десятых) процента от расчетной стоимости одного инвестиционного пая.</w:t>
            </w:r>
          </w:p>
        </w:tc>
      </w:tr>
      <w:tr w:rsidR="0095262F" w:rsidRPr="007E4006" w:rsidTr="003E7696">
        <w:tc>
          <w:tcPr>
            <w:tcW w:w="4785" w:type="dxa"/>
          </w:tcPr>
          <w:p w:rsidR="003724B3" w:rsidRPr="004133CC" w:rsidRDefault="003724B3" w:rsidP="007C0AD1">
            <w:pPr>
              <w:pStyle w:val="ConsPlusNormal"/>
              <w:numPr>
                <w:ilvl w:val="0"/>
                <w:numId w:val="46"/>
              </w:numPr>
              <w:adjustRightInd/>
              <w:ind w:left="0" w:firstLine="284"/>
              <w:jc w:val="both"/>
              <w:rPr>
                <w:rFonts w:ascii="Times New Roman" w:hAnsi="Times New Roman" w:cs="Times New Roman"/>
              </w:rPr>
            </w:pPr>
            <w:r w:rsidRPr="004133CC">
              <w:rPr>
                <w:rFonts w:ascii="Times New Roman" w:hAnsi="Times New Roman" w:cs="Times New Roman"/>
              </w:rPr>
              <w:lastRenderedPageBreak/>
              <w:t>Требования о погашении инвестиционных паев подаются в форме заявки на погашение инвестиционных паев по форме, предусмотренной приложением к настоящим Правилам.</w:t>
            </w:r>
          </w:p>
          <w:p w:rsidR="003724B3" w:rsidRPr="004133CC" w:rsidRDefault="003724B3" w:rsidP="003724B3">
            <w:pPr>
              <w:pStyle w:val="ConsPlusNormal"/>
              <w:ind w:firstLine="709"/>
              <w:jc w:val="both"/>
              <w:rPr>
                <w:rFonts w:ascii="Times New Roman" w:hAnsi="Times New Roman" w:cs="Times New Roman"/>
              </w:rPr>
            </w:pPr>
            <w:r w:rsidRPr="004133CC">
              <w:rPr>
                <w:rFonts w:ascii="Times New Roman" w:hAnsi="Times New Roman" w:cs="Times New Roman"/>
              </w:rPr>
              <w:t>Заявки на погашение инвестиционных паев носят безотзывный характер.</w:t>
            </w:r>
          </w:p>
          <w:p w:rsidR="003724B3" w:rsidRPr="004133CC" w:rsidRDefault="003724B3" w:rsidP="003724B3">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оформленные в соответствии с </w:t>
            </w:r>
            <w:hyperlink w:anchor="_Заявка_на_погашение" w:history="1">
              <w:r w:rsidRPr="004133CC">
                <w:rPr>
                  <w:rFonts w:ascii="Times New Roman" w:hAnsi="Times New Roman" w:cs="Times New Roman"/>
                </w:rPr>
                <w:t>приложением № 3</w:t>
              </w:r>
            </w:hyperlink>
            <w:r w:rsidRPr="004133CC">
              <w:rPr>
                <w:rFonts w:ascii="Times New Roman" w:hAnsi="Times New Roman" w:cs="Times New Roman"/>
              </w:rPr>
              <w:t xml:space="preserve"> к настоящим Правилам, подаются в пунктах приема заявок владельцем инвестиционных паев или его уполномоченным представителем. </w:t>
            </w:r>
          </w:p>
          <w:p w:rsidR="003724B3" w:rsidRPr="004133CC" w:rsidRDefault="003724B3" w:rsidP="003724B3">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оформленные в соответствии с </w:t>
            </w:r>
            <w:hyperlink w:anchor="_Заявка_на_погашение_1" w:history="1">
              <w:r w:rsidRPr="004133CC">
                <w:rPr>
                  <w:rFonts w:ascii="Times New Roman" w:hAnsi="Times New Roman" w:cs="Times New Roman"/>
                </w:rPr>
                <w:t>приложением № 4</w:t>
              </w:r>
            </w:hyperlink>
            <w:r w:rsidRPr="004133CC">
              <w:rPr>
                <w:rFonts w:ascii="Times New Roman" w:hAnsi="Times New Roman" w:cs="Times New Roman"/>
              </w:rPr>
              <w:t xml:space="preserve"> к настоящим Правилам, подаются в пунктах приема заявок номинальным держателем или его уполномоченным представителем.</w:t>
            </w:r>
          </w:p>
          <w:p w:rsidR="003724B3" w:rsidRPr="004133CC" w:rsidRDefault="003724B3" w:rsidP="003724B3">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а также, при необходимости комплект документов, необходимых для погашения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AC3ABF">
              <w:rPr>
                <w:rFonts w:ascii="Times New Roman" w:hAnsi="Times New Roman" w:cs="Times New Roman"/>
              </w:rPr>
              <w:t>123112, город Москва, Пресненская набережная, дом 8, строение 1, этаж 1, пом. 1.</w:t>
            </w:r>
          </w:p>
          <w:p w:rsidR="003724B3" w:rsidRPr="004133CC" w:rsidRDefault="003724B3" w:rsidP="003724B3">
            <w:pPr>
              <w:pStyle w:val="ConsPlusNormal"/>
              <w:ind w:firstLine="709"/>
              <w:jc w:val="both"/>
              <w:rPr>
                <w:rFonts w:ascii="Times New Roman" w:hAnsi="Times New Roman" w:cs="Times New Roman"/>
              </w:rPr>
            </w:pPr>
            <w:r w:rsidRPr="004133CC">
              <w:rPr>
                <w:rFonts w:ascii="Times New Roman" w:hAnsi="Times New Roman" w:cs="Times New Roman"/>
              </w:rPr>
              <w:t>При этом подпись лица в заявке на погашение инвестиционных паев, должна быть удостоверена нотариально. Датой и временем приема заявки на погашение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3724B3" w:rsidRDefault="003724B3" w:rsidP="003724B3">
            <w:pPr>
              <w:pStyle w:val="ConsPlusNormal"/>
              <w:ind w:firstLine="709"/>
              <w:jc w:val="both"/>
              <w:rPr>
                <w:rFonts w:ascii="Times New Roman" w:hAnsi="Times New Roman" w:cs="Times New Roman"/>
              </w:rPr>
            </w:pPr>
            <w:r w:rsidRPr="004133CC">
              <w:rPr>
                <w:rFonts w:ascii="Times New Roman" w:hAnsi="Times New Roman" w:cs="Times New Roman"/>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3724B3" w:rsidRPr="004133CC" w:rsidRDefault="003724B3" w:rsidP="003724B3">
            <w:pPr>
              <w:pStyle w:val="ConsPlusNormal"/>
              <w:ind w:firstLine="709"/>
              <w:jc w:val="both"/>
              <w:rPr>
                <w:rFonts w:ascii="Times New Roman" w:hAnsi="Times New Roman" w:cs="Times New Roman"/>
              </w:rPr>
            </w:pPr>
            <w:r w:rsidRPr="004133CC">
              <w:rPr>
                <w:rFonts w:ascii="Times New Roman" w:hAnsi="Times New Roman" w:cs="Times New Roman"/>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3724B3" w:rsidRPr="004133CC" w:rsidRDefault="003724B3" w:rsidP="003724B3">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погашение инвестиционных паев, направленные факсом или курьером, не </w:t>
            </w:r>
            <w:r w:rsidRPr="004133CC">
              <w:rPr>
                <w:rFonts w:ascii="Times New Roman" w:hAnsi="Times New Roman" w:cs="Times New Roman"/>
              </w:rPr>
              <w:lastRenderedPageBreak/>
              <w:t>принимаются.</w:t>
            </w:r>
          </w:p>
          <w:p w:rsidR="0095262F" w:rsidRPr="004C00BD" w:rsidRDefault="0095262F" w:rsidP="009B27A0">
            <w:pPr>
              <w:pStyle w:val="ConsPlusNormal"/>
              <w:ind w:left="340"/>
              <w:jc w:val="both"/>
              <w:rPr>
                <w:rFonts w:ascii="Times New Roman" w:hAnsi="Times New Roman" w:cs="Times New Roman"/>
              </w:rPr>
            </w:pPr>
          </w:p>
        </w:tc>
        <w:tc>
          <w:tcPr>
            <w:tcW w:w="4785" w:type="dxa"/>
          </w:tcPr>
          <w:p w:rsidR="003724B3" w:rsidRPr="003724B3" w:rsidRDefault="003724B3" w:rsidP="00D644DF">
            <w:pPr>
              <w:pStyle w:val="ConsPlusNormal"/>
              <w:ind w:firstLine="319"/>
              <w:jc w:val="both"/>
              <w:rPr>
                <w:rFonts w:ascii="Times New Roman" w:hAnsi="Times New Roman" w:cs="Times New Roman"/>
              </w:rPr>
            </w:pPr>
            <w:r w:rsidRPr="003724B3">
              <w:rPr>
                <w:rFonts w:ascii="Times New Roman" w:hAnsi="Times New Roman" w:cs="Times New Roman"/>
              </w:rPr>
              <w:lastRenderedPageBreak/>
              <w:t>69.</w:t>
            </w:r>
            <w:r w:rsidRPr="003724B3">
              <w:rPr>
                <w:rFonts w:ascii="Times New Roman" w:hAnsi="Times New Roman" w:cs="Times New Roman"/>
              </w:rPr>
              <w:tab/>
              <w:t>Требования о погашении инвестиционных паев подаются в форме заявки на погашение инвестиционных паев по форме, предусмотренной приложением к настоящим Правилам.</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Заявки на погашение инвестиционных паев носят безотзывный характер.</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Заявки на погашение инвестиционных паев, а также, при необходимости комплект документов, необходимых для погашения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123112, город Москва, Пресненская набережная, дом 8, строение 1, этаж 1</w:t>
            </w:r>
            <w:r w:rsidR="003347C8">
              <w:rPr>
                <w:rFonts w:ascii="Times New Roman" w:hAnsi="Times New Roman" w:cs="Times New Roman"/>
              </w:rPr>
              <w:t>1</w:t>
            </w:r>
            <w:r w:rsidRPr="003724B3">
              <w:rPr>
                <w:rFonts w:ascii="Times New Roman" w:hAnsi="Times New Roman" w:cs="Times New Roman"/>
              </w:rPr>
              <w:t xml:space="preserve">, пом. </w:t>
            </w:r>
            <w:r w:rsidR="003347C8">
              <w:rPr>
                <w:rFonts w:ascii="Times New Roman" w:hAnsi="Times New Roman" w:cs="Times New Roman"/>
                <w:lang w:val="en-US"/>
              </w:rPr>
              <w:t>IN</w:t>
            </w:r>
            <w:r w:rsidR="003347C8">
              <w:rPr>
                <w:rFonts w:ascii="Times New Roman" w:hAnsi="Times New Roman" w:cs="Times New Roman"/>
              </w:rPr>
              <w:t>, ком. 11</w:t>
            </w:r>
            <w:r w:rsidRPr="003724B3">
              <w:rPr>
                <w:rFonts w:ascii="Times New Roman" w:hAnsi="Times New Roman" w:cs="Times New Roman"/>
              </w:rPr>
              <w:t>.</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При этом подпись лица в заявке на погашение инвестиционных паев, должна быть удостоверена нотариально. Датой и временем приема заявки на погашение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В случае отказа в приеме заявки на погашение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 xml:space="preserve">Заявки на погашение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w:t>
            </w:r>
            <w:r w:rsidRPr="003724B3">
              <w:rPr>
                <w:rFonts w:ascii="Times New Roman" w:hAnsi="Times New Roman" w:cs="Times New Roman"/>
              </w:rPr>
              <w:lastRenderedPageBreak/>
              <w:t xml:space="preserve">«ИНФИНИТУМ» - «Финансовая платформа», доступ к которому осуществляется в сети Интернет по адресу platform.finance. </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размещенными на сайте «Финансовой платформы» по адресу platform.finance. </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Заявка на погашение инвестиционных паев, поданная в виде электронного документа, должна быть подписана простой электронной подписью физического лица.</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Отказ управляющей компании в приеме заявки на погашение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p w:rsidR="003724B3" w:rsidRPr="003724B3"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95262F" w:rsidRPr="004C00BD" w:rsidRDefault="003724B3" w:rsidP="003724B3">
            <w:pPr>
              <w:pStyle w:val="ConsPlusNormal"/>
              <w:ind w:left="178" w:firstLine="425"/>
              <w:jc w:val="both"/>
              <w:rPr>
                <w:rFonts w:ascii="Times New Roman" w:hAnsi="Times New Roman" w:cs="Times New Roman"/>
              </w:rPr>
            </w:pPr>
            <w:r w:rsidRPr="003724B3">
              <w:rPr>
                <w:rFonts w:ascii="Times New Roman" w:hAnsi="Times New Roman" w:cs="Times New Roman"/>
              </w:rPr>
              <w:t>Заявки на погашение инвестиционных паев, направленные факсом или курьером, не принимаются.</w:t>
            </w:r>
          </w:p>
        </w:tc>
      </w:tr>
      <w:tr w:rsidR="00CA3401" w:rsidRPr="007E4006" w:rsidTr="003E7696">
        <w:tc>
          <w:tcPr>
            <w:tcW w:w="4785" w:type="dxa"/>
          </w:tcPr>
          <w:p w:rsidR="003724FD" w:rsidRPr="004133CC" w:rsidRDefault="003724FD" w:rsidP="00783983">
            <w:pPr>
              <w:pStyle w:val="ConsPlusNormal"/>
              <w:numPr>
                <w:ilvl w:val="0"/>
                <w:numId w:val="47"/>
              </w:numPr>
              <w:adjustRightInd/>
              <w:ind w:left="0" w:firstLine="284"/>
              <w:jc w:val="both"/>
              <w:rPr>
                <w:rFonts w:ascii="Times New Roman" w:hAnsi="Times New Roman" w:cs="Times New Roman"/>
              </w:rPr>
            </w:pPr>
            <w:r w:rsidRPr="004133CC">
              <w:rPr>
                <w:rFonts w:ascii="Times New Roman" w:hAnsi="Times New Roman" w:cs="Times New Roman"/>
              </w:rPr>
              <w:lastRenderedPageBreak/>
              <w:t>Размер скидки, на которую уменьшается расчетная стоимость инвестиционного пая, при подаче заявки на погашение инвестиционных паев управляющей компании и агентам</w:t>
            </w:r>
            <w:r>
              <w:rPr>
                <w:rFonts w:ascii="Times New Roman" w:hAnsi="Times New Roman" w:cs="Times New Roman"/>
              </w:rPr>
              <w:t xml:space="preserve"> </w:t>
            </w:r>
            <w:r w:rsidRPr="004133CC">
              <w:rPr>
                <w:rFonts w:ascii="Times New Roman" w:hAnsi="Times New Roman" w:cs="Times New Roman"/>
              </w:rPr>
              <w:t>составляет:</w:t>
            </w:r>
          </w:p>
          <w:p w:rsidR="003724FD" w:rsidRPr="00A9445E" w:rsidRDefault="003724FD" w:rsidP="003724FD">
            <w:pPr>
              <w:pStyle w:val="ConsPlusNormal"/>
              <w:numPr>
                <w:ilvl w:val="0"/>
                <w:numId w:val="41"/>
              </w:numPr>
              <w:adjustRightInd/>
              <w:rPr>
                <w:rFonts w:ascii="Times New Roman" w:hAnsi="Times New Roman" w:cs="Times New Roman"/>
              </w:rPr>
            </w:pPr>
            <w:r w:rsidRPr="00A9445E">
              <w:rPr>
                <w:rFonts w:ascii="Times New Roman" w:hAnsi="Times New Roman" w:cs="Times New Roman"/>
              </w:rPr>
              <w:t>0,5% (Ноль целых пять десятых) процента от расчетной стоимости одного инвестиционного пая, если погашение паев производится в течение первых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CA3401" w:rsidRPr="003724FD" w:rsidRDefault="003724FD" w:rsidP="003724FD">
            <w:pPr>
              <w:pStyle w:val="ConsPlusNormal"/>
              <w:numPr>
                <w:ilvl w:val="0"/>
                <w:numId w:val="41"/>
              </w:numPr>
              <w:adjustRightInd/>
              <w:jc w:val="both"/>
              <w:rPr>
                <w:rFonts w:ascii="Times New Roman" w:hAnsi="Times New Roman" w:cs="Times New Roman"/>
              </w:rPr>
            </w:pPr>
            <w:r w:rsidRPr="00A9445E">
              <w:rPr>
                <w:rFonts w:ascii="Times New Roman" w:hAnsi="Times New Roman" w:cs="Times New Roman"/>
              </w:rPr>
              <w:t xml:space="preserve">не взимается в случае, если погашение производится по истечении 365 дней со </w:t>
            </w:r>
            <w:r w:rsidRPr="00A9445E">
              <w:rPr>
                <w:rFonts w:ascii="Times New Roman" w:hAnsi="Times New Roman" w:cs="Times New Roman"/>
              </w:rPr>
              <w:lastRenderedPageBreak/>
              <w:t>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tc>
        <w:tc>
          <w:tcPr>
            <w:tcW w:w="4785" w:type="dxa"/>
          </w:tcPr>
          <w:p w:rsidR="003724FD" w:rsidRPr="003724FD" w:rsidRDefault="003724FD" w:rsidP="003724FD">
            <w:pPr>
              <w:pStyle w:val="ConsPlusNormal"/>
              <w:ind w:left="178" w:firstLine="425"/>
              <w:jc w:val="both"/>
              <w:rPr>
                <w:rFonts w:ascii="Times New Roman" w:hAnsi="Times New Roman" w:cs="Times New Roman"/>
              </w:rPr>
            </w:pPr>
            <w:r w:rsidRPr="003724FD">
              <w:rPr>
                <w:rFonts w:ascii="Times New Roman" w:hAnsi="Times New Roman" w:cs="Times New Roman"/>
              </w:rPr>
              <w:lastRenderedPageBreak/>
              <w:t>79.</w:t>
            </w:r>
            <w:r w:rsidRPr="003724FD">
              <w:rPr>
                <w:rFonts w:ascii="Times New Roman" w:hAnsi="Times New Roman" w:cs="Times New Roman"/>
              </w:rPr>
              <w:tab/>
              <w:t>Размер скидки, на которую уменьшается расчетная стоимость инвестиционного пая, при подаче заявки на погашение инвестиционных паев управляющей компании и агентам, за исключением агента АО «Специализированный депозитарий «ИНФИНИТУМ», составляет:</w:t>
            </w:r>
          </w:p>
          <w:p w:rsidR="003724FD" w:rsidRPr="003724FD" w:rsidRDefault="003724FD" w:rsidP="003724FD">
            <w:pPr>
              <w:pStyle w:val="ConsPlusNormal"/>
              <w:ind w:left="178" w:firstLine="425"/>
              <w:jc w:val="both"/>
              <w:rPr>
                <w:rFonts w:ascii="Times New Roman" w:hAnsi="Times New Roman" w:cs="Times New Roman"/>
              </w:rPr>
            </w:pPr>
            <w:r w:rsidRPr="003724FD">
              <w:rPr>
                <w:rFonts w:ascii="Times New Roman" w:hAnsi="Times New Roman" w:cs="Times New Roman"/>
              </w:rPr>
              <w:t>-</w:t>
            </w:r>
            <w:r w:rsidRPr="003724FD">
              <w:rPr>
                <w:rFonts w:ascii="Times New Roman" w:hAnsi="Times New Roman" w:cs="Times New Roman"/>
              </w:rPr>
              <w:tab/>
              <w:t>0,5% (Ноль целых пять десятых) процента от расчетной стоимости одного инвестиционного пая, если погашение паев производится в течение первых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3724FD" w:rsidRPr="003724FD" w:rsidRDefault="003724FD" w:rsidP="003724FD">
            <w:pPr>
              <w:pStyle w:val="ConsPlusNormal"/>
              <w:ind w:left="178" w:firstLine="425"/>
              <w:jc w:val="both"/>
              <w:rPr>
                <w:rFonts w:ascii="Times New Roman" w:hAnsi="Times New Roman" w:cs="Times New Roman"/>
              </w:rPr>
            </w:pPr>
            <w:r w:rsidRPr="003724FD">
              <w:rPr>
                <w:rFonts w:ascii="Times New Roman" w:hAnsi="Times New Roman" w:cs="Times New Roman"/>
              </w:rPr>
              <w:lastRenderedPageBreak/>
              <w:t>-</w:t>
            </w:r>
            <w:r w:rsidRPr="003724FD">
              <w:rPr>
                <w:rFonts w:ascii="Times New Roman" w:hAnsi="Times New Roman" w:cs="Times New Roman"/>
              </w:rPr>
              <w:tab/>
              <w:t>не взимается в случае, если погашение производится по истечении 365 дней со дня внесения приходной записи в реестре владельцев инвестиционных паев фонда о приобретении соответствующего инвестиционного пая владельцем инвестиционных паев.</w:t>
            </w:r>
          </w:p>
          <w:p w:rsidR="003724FD" w:rsidRPr="003724FD" w:rsidRDefault="003724FD" w:rsidP="003724FD">
            <w:pPr>
              <w:pStyle w:val="ConsPlusNormal"/>
              <w:ind w:left="178" w:firstLine="425"/>
              <w:jc w:val="both"/>
              <w:rPr>
                <w:rFonts w:ascii="Times New Roman" w:hAnsi="Times New Roman" w:cs="Times New Roman"/>
              </w:rPr>
            </w:pPr>
            <w:r w:rsidRPr="003724FD">
              <w:rPr>
                <w:rFonts w:ascii="Times New Roman" w:hAnsi="Times New Roman" w:cs="Times New Roman"/>
              </w:rPr>
              <w:t>Размер скидки, на которую уменьшается расчетная стоимость инвестиционного пая, при подаче заявки на погашение инвестиционных паев агенту АО «Специализированный депозитарий «ИНФИНИТУМ», составляет:</w:t>
            </w:r>
          </w:p>
          <w:p w:rsidR="00CA3401" w:rsidRPr="004C00BD" w:rsidRDefault="003724FD" w:rsidP="003724FD">
            <w:pPr>
              <w:pStyle w:val="ConsPlusNormal"/>
              <w:ind w:left="178" w:firstLine="425"/>
              <w:jc w:val="both"/>
              <w:rPr>
                <w:rFonts w:ascii="Times New Roman" w:hAnsi="Times New Roman" w:cs="Times New Roman"/>
              </w:rPr>
            </w:pPr>
            <w:r w:rsidRPr="003724FD">
              <w:rPr>
                <w:rFonts w:ascii="Times New Roman" w:hAnsi="Times New Roman" w:cs="Times New Roman"/>
              </w:rPr>
              <w:t>-</w:t>
            </w:r>
            <w:r w:rsidRPr="003724FD">
              <w:rPr>
                <w:rFonts w:ascii="Times New Roman" w:hAnsi="Times New Roman" w:cs="Times New Roman"/>
              </w:rPr>
              <w:tab/>
              <w:t>0,5 (Ноль целых пять десятых) процента от расчетной стоимости одного инвестиционного пая.</w:t>
            </w:r>
          </w:p>
        </w:tc>
      </w:tr>
      <w:tr w:rsidR="00CA3401" w:rsidRPr="007E4006" w:rsidTr="003E7696">
        <w:tc>
          <w:tcPr>
            <w:tcW w:w="4785" w:type="dxa"/>
          </w:tcPr>
          <w:p w:rsidR="00957F45" w:rsidRPr="004133CC" w:rsidRDefault="00957F45" w:rsidP="00783983">
            <w:pPr>
              <w:pStyle w:val="ConsPlusNormal"/>
              <w:numPr>
                <w:ilvl w:val="0"/>
                <w:numId w:val="48"/>
              </w:numPr>
              <w:adjustRightInd/>
              <w:ind w:left="0" w:firstLine="284"/>
              <w:jc w:val="both"/>
              <w:rPr>
                <w:rFonts w:ascii="Times New Roman" w:hAnsi="Times New Roman" w:cs="Times New Roman"/>
              </w:rPr>
            </w:pPr>
            <w:r w:rsidRPr="004133CC">
              <w:rPr>
                <w:rFonts w:ascii="Times New Roman" w:hAnsi="Times New Roman" w:cs="Times New Roman"/>
              </w:rPr>
              <w:lastRenderedPageBreak/>
              <w:t xml:space="preserve">Заявки на обмен инвестиционных паев подаются в следующем порядке: </w:t>
            </w:r>
          </w:p>
          <w:p w:rsidR="00957F45" w:rsidRPr="004133CC" w:rsidRDefault="00957F45" w:rsidP="00957F45">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w:t>
            </w:r>
          </w:p>
          <w:p w:rsidR="00957F45" w:rsidRPr="004133CC" w:rsidRDefault="00957F45" w:rsidP="00957F45">
            <w:pPr>
              <w:pStyle w:val="ConsPlusNormal"/>
              <w:ind w:firstLine="709"/>
              <w:jc w:val="both"/>
              <w:rPr>
                <w:rFonts w:ascii="Times New Roman" w:hAnsi="Times New Roman" w:cs="Times New Roman"/>
              </w:rPr>
            </w:pPr>
            <w:r w:rsidRPr="004133CC">
              <w:rPr>
                <w:rFonts w:ascii="Times New Roman" w:hAnsi="Times New Roman" w:cs="Times New Roman"/>
              </w:rPr>
              <w:t>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957F45" w:rsidRPr="004133CC" w:rsidRDefault="00957F45" w:rsidP="00957F45">
            <w:pPr>
              <w:pStyle w:val="ConsPlusNormal"/>
              <w:ind w:firstLine="709"/>
              <w:jc w:val="both"/>
              <w:rPr>
                <w:rFonts w:ascii="Times New Roman" w:hAnsi="Times New Roman" w:cs="Times New Roman"/>
              </w:rPr>
            </w:pPr>
            <w:r w:rsidRPr="004133CC">
              <w:rPr>
                <w:rFonts w:ascii="Times New Roman" w:hAnsi="Times New Roman" w:cs="Times New Roman"/>
              </w:rPr>
              <w:t xml:space="preserve">Заявки на обмен инвестиционных паев, а также, при необходимости комплект документов, необходимых для обмена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w:t>
            </w:r>
            <w:r w:rsidRPr="008E344D">
              <w:rPr>
                <w:rFonts w:ascii="Times New Roman" w:hAnsi="Times New Roman" w:cs="Times New Roman"/>
              </w:rPr>
              <w:t>123112, город Москва, Пресненская набережная, дом 8, строение 1, этаж 12, пом. 1.</w:t>
            </w:r>
          </w:p>
          <w:p w:rsidR="00957F45" w:rsidRPr="004133CC" w:rsidRDefault="00957F45" w:rsidP="00957F45">
            <w:pPr>
              <w:pStyle w:val="ConsPlusNormal"/>
              <w:ind w:firstLine="709"/>
              <w:jc w:val="both"/>
              <w:rPr>
                <w:rFonts w:ascii="Times New Roman" w:hAnsi="Times New Roman" w:cs="Times New Roman"/>
              </w:rPr>
            </w:pPr>
            <w:r w:rsidRPr="004133CC">
              <w:rPr>
                <w:rFonts w:ascii="Times New Roman" w:hAnsi="Times New Roman" w:cs="Times New Roman"/>
              </w:rPr>
              <w:t>При этом подпись лица в заявке на обмен инвестиционных паев, должна быть удостоверена нотариально. Датой и временем приема заявки на обмен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957F45" w:rsidRDefault="00957F45" w:rsidP="00957F45">
            <w:pPr>
              <w:pStyle w:val="ConsPlusNormal"/>
              <w:ind w:firstLine="709"/>
              <w:jc w:val="both"/>
              <w:rPr>
                <w:rFonts w:ascii="Times New Roman" w:hAnsi="Times New Roman" w:cs="Times New Roman"/>
              </w:rPr>
            </w:pPr>
            <w:r w:rsidRPr="004133CC">
              <w:rPr>
                <w:rFonts w:ascii="Times New Roman" w:hAnsi="Times New Roman" w:cs="Times New Roman"/>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957F45" w:rsidRPr="004133CC" w:rsidRDefault="00957F45" w:rsidP="00957F45">
            <w:pPr>
              <w:pStyle w:val="ConsPlusNormal"/>
              <w:ind w:firstLine="709"/>
              <w:jc w:val="both"/>
              <w:rPr>
                <w:rFonts w:ascii="Times New Roman" w:hAnsi="Times New Roman" w:cs="Times New Roman"/>
              </w:rPr>
            </w:pPr>
            <w:r w:rsidRPr="004133CC">
              <w:rPr>
                <w:rFonts w:ascii="Times New Roman" w:hAnsi="Times New Roman" w:cs="Times New Roman"/>
              </w:rPr>
              <w:t>Заявки на обмен инвестиционных паев, направленные факсом или курьером, не принимаются.</w:t>
            </w:r>
          </w:p>
          <w:p w:rsidR="00C559C2" w:rsidRPr="008758CE" w:rsidRDefault="00C559C2" w:rsidP="00C559C2">
            <w:pPr>
              <w:pStyle w:val="ConsPlusNormal"/>
              <w:ind w:firstLine="709"/>
              <w:jc w:val="both"/>
              <w:rPr>
                <w:rFonts w:ascii="Times New Roman" w:hAnsi="Times New Roman" w:cs="Times New Roman"/>
              </w:rPr>
            </w:pPr>
          </w:p>
        </w:tc>
        <w:tc>
          <w:tcPr>
            <w:tcW w:w="4785" w:type="dxa"/>
          </w:tcPr>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94.</w:t>
            </w:r>
            <w:r w:rsidRPr="00957F45">
              <w:rPr>
                <w:rFonts w:ascii="Times New Roman" w:hAnsi="Times New Roman" w:cs="Times New Roman"/>
              </w:rPr>
              <w:tab/>
              <w:t xml:space="preserve">Заявки на обмен инвестиционных паев подаются в следующем порядке: </w:t>
            </w:r>
          </w:p>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оформленные в соответствии с Приложением № 5 к настоящим Правилам, подаются в пунктах приема заявок владельцем инвестиционных паев или его уполномоченным представителем. </w:t>
            </w:r>
          </w:p>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Заявки на обмен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а также, при необходимости комплект документов, необходимых для обмена инвестиционных паев, могут направляться посредством почтовой связи заказным почтовым отправлением с уведомлением о вручении на адрес управляющей компании: Российская Федерация, 123112, город Москва, Пресненская набережная, дом 8, строение 1, </w:t>
            </w:r>
            <w:r w:rsidR="003347C8" w:rsidRPr="003347C8">
              <w:rPr>
                <w:rFonts w:ascii="Times New Roman" w:hAnsi="Times New Roman" w:cs="Times New Roman"/>
              </w:rPr>
              <w:t>этаж 11, пом. IN, ком. 11</w:t>
            </w:r>
            <w:r w:rsidRPr="00957F45">
              <w:rPr>
                <w:rFonts w:ascii="Times New Roman" w:hAnsi="Times New Roman" w:cs="Times New Roman"/>
              </w:rPr>
              <w:t>.</w:t>
            </w:r>
          </w:p>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При этом подпись лица в заявке на обмен инвестиционных паев, должна быть удостоверена нотариально. Датой и временем приема заявки на обмен инвестиционных паев, направленной посредством почтовой связи считается дата и время получения такого заказного отправления управляющей компанией.</w:t>
            </w:r>
          </w:p>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В случае отказа в приеме заявки на обмен инвестиционных паев, направленной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почтовым отправлением с уведомлением о вручении на обратный почтовый адрес, указанный на почтовом отправлении.</w:t>
            </w:r>
          </w:p>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 xml:space="preserve">Заявки на обмен инвестиционных паев физическими лицами могут направляться агенту АО «Специализированный депозитарий «ИНФИНИТУМ» исключительно в виде электронного документа посредством информационного сервиса агента АО «Специализированный депозитарий «ИНФИНИТУМ» - «Финансовая платформа», доступ к которому осуществляется в сети Интернет по адресу platform.finance. </w:t>
            </w:r>
          </w:p>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 xml:space="preserve">Доступ к «Финансовой платформе» является индивидуальным для каждого физического лица и предоставляется в порядке, установленном «Правилами обмена электронными документами в системе электронного документооборота </w:t>
            </w:r>
            <w:r w:rsidRPr="00957F45">
              <w:rPr>
                <w:rFonts w:ascii="Times New Roman" w:hAnsi="Times New Roman" w:cs="Times New Roman"/>
              </w:rPr>
              <w:lastRenderedPageBreak/>
              <w:t xml:space="preserve">«Финансовая платформа» АО «Специализированный депозитарий «ИНФИНИТУМ»», размещенными на сайте «Финансовой платформы» по адресу platform.finance. </w:t>
            </w:r>
          </w:p>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Основанием для дистанционного взаимодействия физического лица с агентом АО «Специализированный депозитарий «ИНФИНИТУМ» является Договор на использование «Финансовой платформы», заключенный путем акцепта физическим лицом «Правил обмена электронными документами в системе электронного документооборота «Финансовая платформа» АО «Специализированный депозитарий «ИНФИНИТУМ».</w:t>
            </w:r>
          </w:p>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Заявка на обмен инвестиционных паев, поданная в виде электронного документа, должна быть подписана простой электронной подписью физического лица.</w:t>
            </w:r>
          </w:p>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 xml:space="preserve">Дата и время приема заявки, поданной с использованием «Финансовой платформы»,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w:t>
            </w:r>
          </w:p>
          <w:p w:rsidR="00957F45" w:rsidRPr="00957F45"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Отказ управляющей компании в приеме заявки на обмен инвестиционных паев, полученной от физического лица посредством «Финансовой платформы», направляется физическому лицу в виде электронного документа на «Финансовую платформу».</w:t>
            </w:r>
          </w:p>
          <w:p w:rsidR="00C559C2" w:rsidRPr="008758CE" w:rsidRDefault="00957F45" w:rsidP="00957F45">
            <w:pPr>
              <w:pStyle w:val="ConsPlusNormal"/>
              <w:ind w:firstLine="709"/>
              <w:jc w:val="both"/>
              <w:rPr>
                <w:rFonts w:ascii="Times New Roman" w:hAnsi="Times New Roman" w:cs="Times New Roman"/>
              </w:rPr>
            </w:pPr>
            <w:r w:rsidRPr="00957F45">
              <w:rPr>
                <w:rFonts w:ascii="Times New Roman" w:hAnsi="Times New Roman" w:cs="Times New Roman"/>
              </w:rPr>
              <w:t>Заявки на обмен инвестиционных паев, направленные факсом или курьером, не принимаются.</w:t>
            </w:r>
          </w:p>
        </w:tc>
      </w:tr>
      <w:tr w:rsidR="00783983" w:rsidRPr="007E4006" w:rsidTr="003E7696">
        <w:tc>
          <w:tcPr>
            <w:tcW w:w="4785" w:type="dxa"/>
          </w:tcPr>
          <w:p w:rsidR="00783983" w:rsidRPr="004133CC" w:rsidRDefault="003E3F8D" w:rsidP="00783983">
            <w:pPr>
              <w:pStyle w:val="ConsPlusNormal"/>
              <w:adjustRightInd/>
              <w:ind w:left="284" w:firstLine="0"/>
              <w:jc w:val="both"/>
              <w:rPr>
                <w:rFonts w:ascii="Times New Roman" w:hAnsi="Times New Roman" w:cs="Times New Roman"/>
              </w:rPr>
            </w:pPr>
            <w:r>
              <w:rPr>
                <w:rFonts w:ascii="Times New Roman" w:hAnsi="Times New Roman" w:cs="Times New Roman"/>
              </w:rPr>
              <w:lastRenderedPageBreak/>
              <w:t>10</w:t>
            </w:r>
            <w:r w:rsidR="00783983" w:rsidRPr="00783983">
              <w:rPr>
                <w:rFonts w:ascii="Times New Roman" w:hAnsi="Times New Roman" w:cs="Times New Roman"/>
              </w:rPr>
              <w:t>6.</w:t>
            </w:r>
            <w:r w:rsidR="00783983" w:rsidRPr="00783983">
              <w:rPr>
                <w:rFonts w:ascii="Times New Roman" w:hAnsi="Times New Roman" w:cs="Times New Roman"/>
              </w:rPr>
              <w:tab/>
              <w:t>За счет имущества, составляющего фонд, выплачивается вознаграждение управляющей компании в размере 1 (Один) процент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аудиторской организации в размере не более 1,5 (Одна целая пять десятых) процента среднегодовой стоимости чистых активов фонда, определяемой в порядке, установленном нормативными актами в сфере финансовых рынков.</w:t>
            </w:r>
          </w:p>
        </w:tc>
        <w:tc>
          <w:tcPr>
            <w:tcW w:w="4785" w:type="dxa"/>
          </w:tcPr>
          <w:p w:rsidR="00783983" w:rsidRPr="004133CC" w:rsidRDefault="00783983" w:rsidP="003E3F8D">
            <w:pPr>
              <w:pStyle w:val="ConsPlusNormal"/>
              <w:numPr>
                <w:ilvl w:val="0"/>
                <w:numId w:val="50"/>
              </w:numPr>
              <w:adjustRightInd/>
              <w:ind w:left="36" w:firstLine="283"/>
              <w:jc w:val="both"/>
              <w:rPr>
                <w:rFonts w:ascii="Times New Roman" w:hAnsi="Times New Roman" w:cs="Times New Roman"/>
              </w:rPr>
            </w:pPr>
            <w:bookmarkStart w:id="5" w:name="_Ref446071517"/>
            <w:r w:rsidRPr="004133CC">
              <w:rPr>
                <w:rFonts w:ascii="Times New Roman" w:hAnsi="Times New Roman" w:cs="Times New Roman"/>
              </w:rPr>
              <w:t xml:space="preserve">За счет имущества, составляющего фонд, выплачивается вознаграждение управляющей компании в размере </w:t>
            </w:r>
            <w:r>
              <w:rPr>
                <w:rFonts w:ascii="Times New Roman" w:hAnsi="Times New Roman" w:cs="Times New Roman"/>
              </w:rPr>
              <w:t>1</w:t>
            </w:r>
            <w:r w:rsidRPr="004133CC">
              <w:rPr>
                <w:rFonts w:ascii="Times New Roman" w:hAnsi="Times New Roman" w:cs="Times New Roman"/>
              </w:rPr>
              <w:t xml:space="preserve"> (</w:t>
            </w:r>
            <w:r>
              <w:rPr>
                <w:rFonts w:ascii="Times New Roman" w:hAnsi="Times New Roman" w:cs="Times New Roman"/>
              </w:rPr>
              <w:t>Один</w:t>
            </w:r>
            <w:r w:rsidRPr="004133CC">
              <w:rPr>
                <w:rFonts w:ascii="Times New Roman" w:hAnsi="Times New Roman" w:cs="Times New Roman"/>
              </w:rPr>
              <w:t xml:space="preserve">) процент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аудиторской организации в размере не более </w:t>
            </w:r>
            <w:r>
              <w:rPr>
                <w:rFonts w:ascii="Times New Roman" w:hAnsi="Times New Roman" w:cs="Times New Roman"/>
              </w:rPr>
              <w:t>3</w:t>
            </w:r>
            <w:r w:rsidRPr="004133CC">
              <w:rPr>
                <w:rFonts w:ascii="Times New Roman" w:hAnsi="Times New Roman" w:cs="Times New Roman"/>
              </w:rPr>
              <w:t xml:space="preserve"> (</w:t>
            </w:r>
            <w:r>
              <w:rPr>
                <w:rFonts w:ascii="Times New Roman" w:hAnsi="Times New Roman" w:cs="Times New Roman"/>
              </w:rPr>
              <w:t>Три целых</w:t>
            </w:r>
            <w:r w:rsidRPr="004133CC">
              <w:rPr>
                <w:rFonts w:ascii="Times New Roman" w:hAnsi="Times New Roman" w:cs="Times New Roman"/>
              </w:rPr>
              <w:t>) процент</w:t>
            </w:r>
            <w:r>
              <w:rPr>
                <w:rFonts w:ascii="Times New Roman" w:hAnsi="Times New Roman" w:cs="Times New Roman"/>
              </w:rPr>
              <w:t>а</w:t>
            </w:r>
            <w:r w:rsidRPr="004133CC">
              <w:rPr>
                <w:rFonts w:ascii="Times New Roman" w:hAnsi="Times New Roman" w:cs="Times New Roman"/>
              </w:rPr>
              <w:t xml:space="preserve"> среднегодовой стоимости чистых активов фонда, определяемой в порядке, установленном нормативными актами в сфере финансовых рынков.</w:t>
            </w:r>
            <w:bookmarkEnd w:id="5"/>
          </w:p>
          <w:p w:rsidR="00783983" w:rsidRPr="00957F45" w:rsidRDefault="00783983" w:rsidP="00455D6B">
            <w:pPr>
              <w:pStyle w:val="ConsPlusNormal"/>
              <w:ind w:left="178" w:firstLine="141"/>
              <w:jc w:val="both"/>
              <w:rPr>
                <w:rFonts w:ascii="Times New Roman" w:hAnsi="Times New Roman" w:cs="Times New Roman"/>
              </w:rPr>
            </w:pPr>
          </w:p>
        </w:tc>
      </w:tr>
      <w:tr w:rsidR="00783983" w:rsidRPr="007E4006" w:rsidTr="003E7696">
        <w:tc>
          <w:tcPr>
            <w:tcW w:w="4785" w:type="dxa"/>
          </w:tcPr>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109.</w:t>
            </w:r>
            <w:r w:rsidRPr="00783983">
              <w:rPr>
                <w:rFonts w:ascii="Times New Roman" w:hAnsi="Times New Roman" w:cs="Times New Roman"/>
              </w:rPr>
              <w:tab/>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1)</w:t>
            </w:r>
            <w:r w:rsidRPr="00783983">
              <w:rPr>
                <w:rFonts w:ascii="Times New Roman" w:hAnsi="Times New Roman" w:cs="Times New Roman"/>
              </w:rPr>
              <w:tab/>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2)</w:t>
            </w:r>
            <w:r w:rsidRPr="00783983">
              <w:rPr>
                <w:rFonts w:ascii="Times New Roman" w:hAnsi="Times New Roman" w:cs="Times New Roman"/>
              </w:rPr>
              <w:tab/>
              <w:t xml:space="preserve">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w:t>
            </w:r>
            <w:r w:rsidRPr="00783983">
              <w:rPr>
                <w:rFonts w:ascii="Times New Roman" w:hAnsi="Times New Roman" w:cs="Times New Roman"/>
              </w:rPr>
              <w:lastRenderedPageBreak/>
              <w:t>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3)</w:t>
            </w:r>
            <w:r w:rsidRPr="00783983">
              <w:rPr>
                <w:rFonts w:ascii="Times New Roman" w:hAnsi="Times New Roman" w:cs="Times New Roman"/>
              </w:rPr>
              <w:tab/>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4)</w:t>
            </w:r>
            <w:r w:rsidRPr="00783983">
              <w:rPr>
                <w:rFonts w:ascii="Times New Roman" w:hAnsi="Times New Roman" w:cs="Times New Roman"/>
              </w:rPr>
              <w:tab/>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5)</w:t>
            </w:r>
            <w:r w:rsidRPr="00783983">
              <w:rPr>
                <w:rFonts w:ascii="Times New Roman" w:hAnsi="Times New Roman" w:cs="Times New Roman"/>
              </w:rPr>
              <w:tab/>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6)</w:t>
            </w:r>
            <w:r w:rsidRPr="00783983">
              <w:rPr>
                <w:rFonts w:ascii="Times New Roman" w:hAnsi="Times New Roman" w:cs="Times New Roman"/>
              </w:rPr>
              <w:tab/>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7)</w:t>
            </w:r>
            <w:r w:rsidRPr="00783983">
              <w:rPr>
                <w:rFonts w:ascii="Times New Roman" w:hAnsi="Times New Roman" w:cs="Times New Roman"/>
              </w:rPr>
              <w:tab/>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пропорционально доле ценных бумаг, приобретаемых за счет имущества фонда;</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8)</w:t>
            </w:r>
            <w:r w:rsidRPr="00783983">
              <w:rPr>
                <w:rFonts w:ascii="Times New Roman" w:hAnsi="Times New Roman" w:cs="Times New Roman"/>
              </w:rPr>
              <w:tab/>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9)</w:t>
            </w:r>
            <w:r w:rsidRPr="00783983">
              <w:rPr>
                <w:rFonts w:ascii="Times New Roman" w:hAnsi="Times New Roman" w:cs="Times New Roman"/>
              </w:rPr>
              <w:tab/>
              <w:t xml:space="preserve">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w:t>
            </w:r>
            <w:r w:rsidRPr="00783983">
              <w:rPr>
                <w:rFonts w:ascii="Times New Roman" w:hAnsi="Times New Roman" w:cs="Times New Roman"/>
              </w:rPr>
              <w:lastRenderedPageBreak/>
              <w:t>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10)</w:t>
            </w:r>
            <w:r w:rsidRPr="00783983">
              <w:rPr>
                <w:rFonts w:ascii="Times New Roman" w:hAnsi="Times New Roman" w:cs="Times New Roman"/>
              </w:rPr>
              <w:tab/>
              <w:t>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11)</w:t>
            </w:r>
            <w:r w:rsidRPr="00783983">
              <w:rPr>
                <w:rFonts w:ascii="Times New Roman" w:hAnsi="Times New Roman" w:cs="Times New Roman"/>
              </w:rPr>
              <w:tab/>
              <w:t>иные расходы, не указанные в настоящем пункте, при условии, что такие расходы допустимы в соответствии с Федеральным законом от 29.11.2001 года № 156-ФЗ «Об инвестиционных фондах»</w:t>
            </w:r>
            <w:r>
              <w:rPr>
                <w:rFonts w:ascii="Times New Roman" w:hAnsi="Times New Roman" w:cs="Times New Roman"/>
              </w:rPr>
              <w:t xml:space="preserve"> </w:t>
            </w:r>
            <w:r w:rsidRPr="00783983">
              <w:rPr>
                <w:rFonts w:ascii="Times New Roman" w:hAnsi="Times New Roman" w:cs="Times New Roman"/>
              </w:rPr>
              <w:t>и совокупный предельный размер таких расходов составляет не более 0,1 (ноль целых одна десятая) процента среднегодовой стоимости чистых активов фонда, определяемой в порядке, установленном нормативными актами в сфере финансовых рынков.</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783983" w:rsidRPr="00783983" w:rsidRDefault="00783983" w:rsidP="00783983">
            <w:pPr>
              <w:pStyle w:val="ConsPlusNormal"/>
              <w:ind w:left="142" w:firstLine="567"/>
              <w:jc w:val="both"/>
              <w:rPr>
                <w:rFonts w:ascii="Times New Roman" w:hAnsi="Times New Roman" w:cs="Times New Roman"/>
              </w:rPr>
            </w:pPr>
            <w:r w:rsidRPr="00783983">
              <w:rPr>
                <w:rFonts w:ascii="Times New Roman" w:hAnsi="Times New Roman" w:cs="Times New Roman"/>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4 (четыре) процента (с учетом НДС) среднегодовой стоимости чистых активов фонда, определяемой в порядке, установленном нормативными актами в сфере финансовых рынков.</w:t>
            </w:r>
          </w:p>
          <w:p w:rsidR="00783983" w:rsidRDefault="00783983" w:rsidP="00783983">
            <w:pPr>
              <w:pStyle w:val="ConsPlusNormal"/>
              <w:adjustRightInd/>
              <w:ind w:left="142" w:firstLine="567"/>
              <w:jc w:val="both"/>
              <w:rPr>
                <w:rFonts w:ascii="Times New Roman" w:hAnsi="Times New Roman" w:cs="Times New Roman"/>
              </w:rPr>
            </w:pPr>
            <w:r w:rsidRPr="00783983">
              <w:rPr>
                <w:rFonts w:ascii="Times New Roman" w:hAnsi="Times New Roman" w:cs="Times New Roman"/>
              </w:rPr>
              <w:t>Расходы, не предусмотренные пунктом 109 настоящих Правил, а также вознаграждения в части превышения размеров, указанных в пункте 106 настоящих Правил, или 2,5 (Две целых пять десятых) процента среднегодовой стоимости чистых активов фонда, выплачиваются управляющей компанией за счет своих собственных средств.</w:t>
            </w:r>
          </w:p>
        </w:tc>
        <w:tc>
          <w:tcPr>
            <w:tcW w:w="4785" w:type="dxa"/>
          </w:tcPr>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lastRenderedPageBreak/>
              <w:t>109.</w:t>
            </w:r>
            <w:r w:rsidRPr="00783983">
              <w:rPr>
                <w:rFonts w:ascii="Times New Roman" w:hAnsi="Times New Roman" w:cs="Times New Roman"/>
              </w:rPr>
              <w:tab/>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1)</w:t>
            </w:r>
            <w:r w:rsidRPr="00783983">
              <w:rPr>
                <w:rFonts w:ascii="Times New Roman" w:hAnsi="Times New Roman" w:cs="Times New Roman"/>
              </w:rPr>
              <w:tab/>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2)</w:t>
            </w:r>
            <w:r w:rsidRPr="00783983">
              <w:rPr>
                <w:rFonts w:ascii="Times New Roman" w:hAnsi="Times New Roman" w:cs="Times New Roman"/>
              </w:rPr>
              <w:tab/>
              <w:t xml:space="preserve">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w:t>
            </w:r>
            <w:r w:rsidRPr="00783983">
              <w:rPr>
                <w:rFonts w:ascii="Times New Roman" w:hAnsi="Times New Roman" w:cs="Times New Roman"/>
              </w:rPr>
              <w:lastRenderedPageBreak/>
              <w:t>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3)</w:t>
            </w:r>
            <w:r w:rsidRPr="00783983">
              <w:rPr>
                <w:rFonts w:ascii="Times New Roman" w:hAnsi="Times New Roman" w:cs="Times New Roman"/>
              </w:rPr>
              <w:tab/>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4)</w:t>
            </w:r>
            <w:r w:rsidRPr="00783983">
              <w:rPr>
                <w:rFonts w:ascii="Times New Roman" w:hAnsi="Times New Roman" w:cs="Times New Roman"/>
              </w:rPr>
              <w:tab/>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5)</w:t>
            </w:r>
            <w:r w:rsidRPr="00783983">
              <w:rPr>
                <w:rFonts w:ascii="Times New Roman" w:hAnsi="Times New Roman" w:cs="Times New Roman"/>
              </w:rPr>
              <w:tab/>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6)</w:t>
            </w:r>
            <w:r w:rsidRPr="00783983">
              <w:rPr>
                <w:rFonts w:ascii="Times New Roman" w:hAnsi="Times New Roman" w:cs="Times New Roman"/>
              </w:rPr>
              <w:tab/>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7)</w:t>
            </w:r>
            <w:r w:rsidRPr="00783983">
              <w:rPr>
                <w:rFonts w:ascii="Times New Roman" w:hAnsi="Times New Roman" w:cs="Times New Roman"/>
              </w:rPr>
              <w:tab/>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пропорционально доле ценных бумаг, приобретаемых за счет имущества фонда;</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8)</w:t>
            </w:r>
            <w:r w:rsidRPr="00783983">
              <w:rPr>
                <w:rFonts w:ascii="Times New Roman" w:hAnsi="Times New Roman" w:cs="Times New Roman"/>
              </w:rPr>
              <w:tab/>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9)</w:t>
            </w:r>
            <w:r w:rsidRPr="00783983">
              <w:rPr>
                <w:rFonts w:ascii="Times New Roman" w:hAnsi="Times New Roman" w:cs="Times New Roman"/>
              </w:rPr>
              <w:tab/>
              <w:t xml:space="preserve">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w:t>
            </w:r>
            <w:r w:rsidRPr="00783983">
              <w:rPr>
                <w:rFonts w:ascii="Times New Roman" w:hAnsi="Times New Roman" w:cs="Times New Roman"/>
              </w:rPr>
              <w:lastRenderedPageBreak/>
              <w:t>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10)</w:t>
            </w:r>
            <w:r w:rsidRPr="00783983">
              <w:rPr>
                <w:rFonts w:ascii="Times New Roman" w:hAnsi="Times New Roman" w:cs="Times New Roman"/>
              </w:rPr>
              <w:tab/>
              <w:t>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11)</w:t>
            </w:r>
            <w:r w:rsidRPr="00783983">
              <w:rPr>
                <w:rFonts w:ascii="Times New Roman" w:hAnsi="Times New Roman" w:cs="Times New Roman"/>
              </w:rPr>
              <w:tab/>
              <w:t>иные расходы, не указанные в настоящем пункте, при условии, что такие расходы допустимы в соответствии с Федеральным законом от 29.11.2001 года № 156-ФЗ «Об инвестиционных фондах»</w:t>
            </w:r>
            <w:r w:rsidR="003E3F8D">
              <w:rPr>
                <w:rFonts w:ascii="Times New Roman" w:hAnsi="Times New Roman" w:cs="Times New Roman"/>
              </w:rPr>
              <w:t xml:space="preserve"> </w:t>
            </w:r>
            <w:r w:rsidRPr="00783983">
              <w:rPr>
                <w:rFonts w:ascii="Times New Roman" w:hAnsi="Times New Roman" w:cs="Times New Roman"/>
              </w:rPr>
              <w:t>и совокупный предельный размер таких расходов составляет не более 0,1 (ноль целых одна десятая) процента среднегодовой стоимости чистых активов фонда, определяемой в порядке, установленном нормативными актами в сфере финансовых рынков.</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783983" w:rsidRPr="00783983" w:rsidRDefault="00783983" w:rsidP="003E3F8D">
            <w:pPr>
              <w:pStyle w:val="ConsPlusNormal"/>
              <w:ind w:left="178" w:firstLine="567"/>
              <w:jc w:val="both"/>
              <w:rPr>
                <w:rFonts w:ascii="Times New Roman" w:hAnsi="Times New Roman" w:cs="Times New Roman"/>
              </w:rPr>
            </w:pPr>
            <w:r w:rsidRPr="00783983">
              <w:rPr>
                <w:rFonts w:ascii="Times New Roman" w:hAnsi="Times New Roman" w:cs="Times New Roman"/>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4 (четыре) процента (с учетом НДС) среднегодовой стоимости чистых активов фонда, определяемой в порядке, установленном нормативными актами в сфере финансовых рынков.</w:t>
            </w:r>
          </w:p>
          <w:p w:rsidR="00783983" w:rsidRPr="004133CC" w:rsidRDefault="00783983" w:rsidP="003E3F8D">
            <w:pPr>
              <w:pStyle w:val="ConsPlusNormal"/>
              <w:adjustRightInd/>
              <w:ind w:left="178" w:firstLine="567"/>
              <w:jc w:val="both"/>
              <w:rPr>
                <w:rFonts w:ascii="Times New Roman" w:hAnsi="Times New Roman" w:cs="Times New Roman"/>
              </w:rPr>
            </w:pPr>
            <w:r w:rsidRPr="00783983">
              <w:rPr>
                <w:rFonts w:ascii="Times New Roman" w:hAnsi="Times New Roman" w:cs="Times New Roman"/>
              </w:rPr>
              <w:t xml:space="preserve">Расходы, не предусмотренные пунктом 109 настоящих Правил, а также вознаграждения в части превышения размеров, указанных в пункте 106 настоящих Правил, или </w:t>
            </w:r>
            <w:r>
              <w:rPr>
                <w:rFonts w:ascii="Times New Roman" w:hAnsi="Times New Roman" w:cs="Times New Roman"/>
              </w:rPr>
              <w:t>4</w:t>
            </w:r>
            <w:r w:rsidRPr="00783983">
              <w:rPr>
                <w:rFonts w:ascii="Times New Roman" w:hAnsi="Times New Roman" w:cs="Times New Roman"/>
              </w:rPr>
              <w:t xml:space="preserve"> (</w:t>
            </w:r>
            <w:r>
              <w:rPr>
                <w:rFonts w:ascii="Times New Roman" w:hAnsi="Times New Roman" w:cs="Times New Roman"/>
              </w:rPr>
              <w:t>Четыре</w:t>
            </w:r>
            <w:r w:rsidRPr="00783983">
              <w:rPr>
                <w:rFonts w:ascii="Times New Roman" w:hAnsi="Times New Roman" w:cs="Times New Roman"/>
              </w:rPr>
              <w:t xml:space="preserve"> целых) процента среднегодовой стоимости чистых активов фонда, выплачиваются управляющей компанией за счет своих собственных средств.</w:t>
            </w:r>
          </w:p>
        </w:tc>
      </w:tr>
    </w:tbl>
    <w:p w:rsidR="00D274BB" w:rsidRPr="004608E3" w:rsidRDefault="00D274BB" w:rsidP="006D4385">
      <w:pPr>
        <w:spacing w:line="240" w:lineRule="auto"/>
        <w:ind w:right="-1"/>
        <w:rPr>
          <w:b/>
          <w:sz w:val="24"/>
          <w:szCs w:val="24"/>
        </w:rPr>
      </w:pPr>
    </w:p>
    <w:p w:rsidR="00D274BB" w:rsidRPr="004608E3" w:rsidRDefault="00D274BB" w:rsidP="00D274BB">
      <w:pPr>
        <w:spacing w:line="240" w:lineRule="auto"/>
        <w:rPr>
          <w:rFonts w:ascii="Times New Roman" w:hAnsi="Times New Roman"/>
          <w:sz w:val="24"/>
          <w:szCs w:val="24"/>
        </w:rPr>
      </w:pPr>
    </w:p>
    <w:p w:rsidR="00D274BB" w:rsidRDefault="00D274BB" w:rsidP="00D274BB">
      <w:pPr>
        <w:spacing w:line="240" w:lineRule="auto"/>
        <w:rPr>
          <w:rFonts w:ascii="Times New Roman" w:hAnsi="Times New Roman"/>
          <w:sz w:val="24"/>
          <w:szCs w:val="24"/>
        </w:rPr>
      </w:pPr>
    </w:p>
    <w:p w:rsidR="00082243" w:rsidRPr="00E50C1C" w:rsidRDefault="00082243" w:rsidP="00D274BB">
      <w:pPr>
        <w:spacing w:line="240" w:lineRule="auto"/>
        <w:rPr>
          <w:rFonts w:ascii="Times New Roman" w:hAnsi="Times New Roman"/>
          <w:sz w:val="24"/>
          <w:szCs w:val="24"/>
        </w:rPr>
      </w:pPr>
      <w:r w:rsidRPr="00E50C1C">
        <w:rPr>
          <w:rFonts w:ascii="Times New Roman" w:hAnsi="Times New Roman"/>
          <w:sz w:val="24"/>
          <w:szCs w:val="24"/>
        </w:rPr>
        <w:t xml:space="preserve">Генеральный директор </w:t>
      </w:r>
    </w:p>
    <w:p w:rsidR="00850E48" w:rsidRPr="00E50C1C" w:rsidRDefault="009C3D37" w:rsidP="00D274BB">
      <w:pPr>
        <w:spacing w:line="240" w:lineRule="auto"/>
        <w:rPr>
          <w:rFonts w:ascii="Times New Roman" w:hAnsi="Times New Roman"/>
          <w:sz w:val="24"/>
          <w:szCs w:val="24"/>
        </w:rPr>
      </w:pPr>
      <w:r>
        <w:rPr>
          <w:rFonts w:ascii="Times New Roman" w:hAnsi="Times New Roman"/>
          <w:sz w:val="24"/>
          <w:szCs w:val="24"/>
        </w:rPr>
        <w:t>ООО «КБФ УА»</w:t>
      </w:r>
      <w:r w:rsidR="00082243" w:rsidRPr="00E50C1C">
        <w:rPr>
          <w:rFonts w:ascii="Times New Roman" w:hAnsi="Times New Roman"/>
          <w:sz w:val="24"/>
          <w:szCs w:val="24"/>
        </w:rPr>
        <w:t xml:space="preserve">                  </w:t>
      </w:r>
      <w:r w:rsidR="00E51628" w:rsidRPr="00E50C1C">
        <w:rPr>
          <w:rFonts w:ascii="Times New Roman" w:hAnsi="Times New Roman"/>
          <w:sz w:val="24"/>
          <w:szCs w:val="24"/>
        </w:rPr>
        <w:t xml:space="preserve">         </w:t>
      </w:r>
      <w:r w:rsidR="00082243" w:rsidRPr="00E50C1C">
        <w:rPr>
          <w:rFonts w:ascii="Times New Roman" w:hAnsi="Times New Roman"/>
          <w:sz w:val="24"/>
          <w:szCs w:val="24"/>
        </w:rPr>
        <w:t xml:space="preserve">                                                              </w:t>
      </w:r>
      <w:r>
        <w:rPr>
          <w:rFonts w:ascii="Times New Roman" w:hAnsi="Times New Roman"/>
          <w:sz w:val="24"/>
          <w:szCs w:val="24"/>
        </w:rPr>
        <w:t>Я.Г. Смирнова</w:t>
      </w:r>
    </w:p>
    <w:sectPr w:rsidR="00850E48" w:rsidRPr="00E50C1C" w:rsidSect="00D274BB">
      <w:footerReference w:type="default" r:id="rId11"/>
      <w:pgSz w:w="11906" w:h="16838"/>
      <w:pgMar w:top="816" w:right="851" w:bottom="1134" w:left="1701" w:header="426"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431" w:rsidRDefault="00023431" w:rsidP="00685E5D">
      <w:pPr>
        <w:spacing w:line="240" w:lineRule="auto"/>
      </w:pPr>
      <w:r>
        <w:separator/>
      </w:r>
    </w:p>
  </w:endnote>
  <w:endnote w:type="continuationSeparator" w:id="0">
    <w:p w:rsidR="00023431" w:rsidRDefault="00023431" w:rsidP="00685E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25" w:rsidRPr="003C3E25" w:rsidRDefault="003C3E25">
    <w:pPr>
      <w:pStyle w:val="aa"/>
      <w:jc w:val="right"/>
      <w:rPr>
        <w:sz w:val="16"/>
        <w:szCs w:val="16"/>
      </w:rPr>
    </w:pPr>
    <w:r w:rsidRPr="003C3E25">
      <w:rPr>
        <w:sz w:val="16"/>
        <w:szCs w:val="16"/>
      </w:rPr>
      <w:fldChar w:fldCharType="begin"/>
    </w:r>
    <w:r w:rsidRPr="003C3E25">
      <w:rPr>
        <w:sz w:val="16"/>
        <w:szCs w:val="16"/>
      </w:rPr>
      <w:instrText>PAGE   \* MERGEFORMAT</w:instrText>
    </w:r>
    <w:r w:rsidRPr="003C3E25">
      <w:rPr>
        <w:sz w:val="16"/>
        <w:szCs w:val="16"/>
      </w:rPr>
      <w:fldChar w:fldCharType="separate"/>
    </w:r>
    <w:r w:rsidR="0053083B">
      <w:rPr>
        <w:noProof/>
        <w:sz w:val="16"/>
        <w:szCs w:val="16"/>
      </w:rPr>
      <w:t>18</w:t>
    </w:r>
    <w:r w:rsidRPr="003C3E25">
      <w:rPr>
        <w:sz w:val="16"/>
        <w:szCs w:val="16"/>
      </w:rPr>
      <w:fldChar w:fldCharType="end"/>
    </w:r>
  </w:p>
  <w:p w:rsidR="003C3E25" w:rsidRDefault="003C3E25" w:rsidP="00D274BB">
    <w:pPr>
      <w:pStyle w:val="aa"/>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431" w:rsidRDefault="00023431" w:rsidP="00685E5D">
      <w:pPr>
        <w:spacing w:line="240" w:lineRule="auto"/>
      </w:pPr>
      <w:r>
        <w:separator/>
      </w:r>
    </w:p>
  </w:footnote>
  <w:footnote w:type="continuationSeparator" w:id="0">
    <w:p w:rsidR="00023431" w:rsidRDefault="00023431" w:rsidP="00685E5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F4A"/>
    <w:multiLevelType w:val="hybridMultilevel"/>
    <w:tmpl w:val="1D72208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01D20437"/>
    <w:multiLevelType w:val="hybridMultilevel"/>
    <w:tmpl w:val="9238F70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4DC1CE0"/>
    <w:multiLevelType w:val="hybridMultilevel"/>
    <w:tmpl w:val="E332B678"/>
    <w:lvl w:ilvl="0" w:tplc="7AB60C2A">
      <w:start w:val="9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07BA101B"/>
    <w:multiLevelType w:val="multilevel"/>
    <w:tmpl w:val="3D289B6E"/>
    <w:lvl w:ilvl="0">
      <w:start w:val="1"/>
      <w:numFmt w:val="decimal"/>
      <w:lvlText w:val="%1."/>
      <w:lvlJc w:val="left"/>
      <w:pPr>
        <w:ind w:left="900"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55"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6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4">
    <w:nsid w:val="07D479A6"/>
    <w:multiLevelType w:val="hybridMultilevel"/>
    <w:tmpl w:val="16E0E42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5">
    <w:nsid w:val="08CB769F"/>
    <w:multiLevelType w:val="hybridMultilevel"/>
    <w:tmpl w:val="25D84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811B01"/>
    <w:multiLevelType w:val="hybridMultilevel"/>
    <w:tmpl w:val="B7EA01E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E46DB2"/>
    <w:multiLevelType w:val="hybridMultilevel"/>
    <w:tmpl w:val="1F5A15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0C321D77"/>
    <w:multiLevelType w:val="hybridMultilevel"/>
    <w:tmpl w:val="BECADE90"/>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0CAB3B5F"/>
    <w:multiLevelType w:val="hybridMultilevel"/>
    <w:tmpl w:val="DD78F7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546589"/>
    <w:multiLevelType w:val="hybridMultilevel"/>
    <w:tmpl w:val="B0145E92"/>
    <w:lvl w:ilvl="0" w:tplc="B1741D12">
      <w:start w:val="9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13D75ED8"/>
    <w:multiLevelType w:val="hybridMultilevel"/>
    <w:tmpl w:val="157C7EE4"/>
    <w:lvl w:ilvl="0" w:tplc="D34A710A">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144B3D3D"/>
    <w:multiLevelType w:val="hybridMultilevel"/>
    <w:tmpl w:val="301AD98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14AB2A30"/>
    <w:multiLevelType w:val="hybridMultilevel"/>
    <w:tmpl w:val="48BCA4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F63381"/>
    <w:multiLevelType w:val="hybridMultilevel"/>
    <w:tmpl w:val="11B83672"/>
    <w:lvl w:ilvl="0" w:tplc="771A8FBE">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185F251B"/>
    <w:multiLevelType w:val="hybridMultilevel"/>
    <w:tmpl w:val="D5F4A5E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6">
    <w:nsid w:val="1A5E3577"/>
    <w:multiLevelType w:val="hybridMultilevel"/>
    <w:tmpl w:val="C936C99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1CB577C9"/>
    <w:multiLevelType w:val="hybridMultilevel"/>
    <w:tmpl w:val="DD8AA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CCD0891"/>
    <w:multiLevelType w:val="hybridMultilevel"/>
    <w:tmpl w:val="DDC8C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6334D3"/>
    <w:multiLevelType w:val="hybridMultilevel"/>
    <w:tmpl w:val="5F8872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79506A"/>
    <w:multiLevelType w:val="hybridMultilevel"/>
    <w:tmpl w:val="8974CDC0"/>
    <w:lvl w:ilvl="0" w:tplc="922C42F2">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2B813866"/>
    <w:multiLevelType w:val="hybridMultilevel"/>
    <w:tmpl w:val="2CD68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F57367"/>
    <w:multiLevelType w:val="hybridMultilevel"/>
    <w:tmpl w:val="14F0C262"/>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30822FAA"/>
    <w:multiLevelType w:val="hybridMultilevel"/>
    <w:tmpl w:val="7FC66A9A"/>
    <w:lvl w:ilvl="0" w:tplc="C494D9DC">
      <w:start w:val="6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308B7F57"/>
    <w:multiLevelType w:val="hybridMultilevel"/>
    <w:tmpl w:val="FB48B9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324362AA"/>
    <w:multiLevelType w:val="hybridMultilevel"/>
    <w:tmpl w:val="AD181262"/>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34FB4F2F"/>
    <w:multiLevelType w:val="hybridMultilevel"/>
    <w:tmpl w:val="7A801624"/>
    <w:lvl w:ilvl="0" w:tplc="58CA8EDE">
      <w:start w:val="4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3B7E0A14"/>
    <w:multiLevelType w:val="hybridMultilevel"/>
    <w:tmpl w:val="B25E5414"/>
    <w:lvl w:ilvl="0" w:tplc="4258AA52">
      <w:start w:val="10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nsid w:val="4A915B32"/>
    <w:multiLevelType w:val="hybridMultilevel"/>
    <w:tmpl w:val="DA70A7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17077B2"/>
    <w:multiLevelType w:val="hybridMultilevel"/>
    <w:tmpl w:val="CB922EFE"/>
    <w:lvl w:ilvl="0" w:tplc="5DB0B396">
      <w:start w:val="1"/>
      <w:numFmt w:val="decimal"/>
      <w:lvlText w:val="%1."/>
      <w:lvlJc w:val="left"/>
      <w:pPr>
        <w:ind w:left="1260" w:hanging="360"/>
      </w:pPr>
      <w:rPr>
        <w:rFonts w:cs="Times New Roman"/>
        <w:b/>
      </w:rPr>
    </w:lvl>
    <w:lvl w:ilvl="1" w:tplc="DE6211C4">
      <w:start w:val="1"/>
      <w:numFmt w:val="decimal"/>
      <w:lvlText w:val="%2)"/>
      <w:lvlJc w:val="left"/>
      <w:pPr>
        <w:ind w:left="4355" w:hanging="810"/>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51FF7A0E"/>
    <w:multiLevelType w:val="hybridMultilevel"/>
    <w:tmpl w:val="237E0ABE"/>
    <w:lvl w:ilvl="0" w:tplc="98E0663A">
      <w:start w:val="4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75D4EC1"/>
    <w:multiLevelType w:val="hybridMultilevel"/>
    <w:tmpl w:val="1836245E"/>
    <w:lvl w:ilvl="0" w:tplc="7A602A9C">
      <w:start w:val="1"/>
      <w:numFmt w:val="bullet"/>
      <w:lvlText w:val="-"/>
      <w:lvlJc w:val="left"/>
      <w:pPr>
        <w:ind w:left="1004" w:hanging="360"/>
      </w:pPr>
      <w:rPr>
        <w:rFonts w:ascii="Courier New" w:hAnsi="Courier New" w:hint="default"/>
      </w:rPr>
    </w:lvl>
    <w:lvl w:ilvl="1" w:tplc="A646549C">
      <w:start w:val="1"/>
      <w:numFmt w:val="decimal"/>
      <w:lvlText w:val="%2)"/>
      <w:lvlJc w:val="left"/>
      <w:pPr>
        <w:ind w:left="1724" w:hanging="360"/>
      </w:pPr>
      <w:rPr>
        <w:rFonts w:cs="Times New Roman" w:hint="default"/>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2">
    <w:nsid w:val="59B52DEF"/>
    <w:multiLevelType w:val="hybridMultilevel"/>
    <w:tmpl w:val="2E7E05B6"/>
    <w:lvl w:ilvl="0" w:tplc="0419000F">
      <w:start w:val="1"/>
      <w:numFmt w:val="decimal"/>
      <w:lvlText w:val="%1."/>
      <w:lvlJc w:val="left"/>
      <w:pPr>
        <w:ind w:left="1260" w:hanging="360"/>
      </w:pPr>
      <w:rPr>
        <w:rFonts w:cs="Times New Roman"/>
      </w:rPr>
    </w:lvl>
    <w:lvl w:ilvl="1" w:tplc="023891FA">
      <w:start w:val="1"/>
      <w:numFmt w:val="lowerLetter"/>
      <w:lvlText w:val="%2)"/>
      <w:lvlJc w:val="left"/>
      <w:pPr>
        <w:ind w:left="2430" w:hanging="810"/>
      </w:pPr>
      <w:rPr>
        <w:rFonts w:cs="Times New Roman" w:hint="default"/>
      </w:rPr>
    </w:lvl>
    <w:lvl w:ilvl="2" w:tplc="502E4640">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5B25659C"/>
    <w:multiLevelType w:val="hybridMultilevel"/>
    <w:tmpl w:val="36D2A5A0"/>
    <w:lvl w:ilvl="0" w:tplc="4A868AB8">
      <w:start w:val="8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nsid w:val="6063768B"/>
    <w:multiLevelType w:val="hybridMultilevel"/>
    <w:tmpl w:val="9656D614"/>
    <w:lvl w:ilvl="0" w:tplc="9DC07AE2">
      <w:start w:val="47"/>
      <w:numFmt w:val="decimal"/>
      <w:lvlText w:val="%1."/>
      <w:lvlJc w:val="left"/>
      <w:pPr>
        <w:ind w:left="679" w:hanging="360"/>
      </w:pPr>
      <w:rPr>
        <w:rFonts w:cs="Times New Roman" w:hint="default"/>
      </w:rPr>
    </w:lvl>
    <w:lvl w:ilvl="1" w:tplc="04190019" w:tentative="1">
      <w:start w:val="1"/>
      <w:numFmt w:val="lowerLetter"/>
      <w:lvlText w:val="%2."/>
      <w:lvlJc w:val="left"/>
      <w:pPr>
        <w:ind w:left="1399" w:hanging="360"/>
      </w:pPr>
      <w:rPr>
        <w:rFonts w:cs="Times New Roman"/>
      </w:rPr>
    </w:lvl>
    <w:lvl w:ilvl="2" w:tplc="0419001B" w:tentative="1">
      <w:start w:val="1"/>
      <w:numFmt w:val="lowerRoman"/>
      <w:lvlText w:val="%3."/>
      <w:lvlJc w:val="right"/>
      <w:pPr>
        <w:ind w:left="2119" w:hanging="180"/>
      </w:pPr>
      <w:rPr>
        <w:rFonts w:cs="Times New Roman"/>
      </w:rPr>
    </w:lvl>
    <w:lvl w:ilvl="3" w:tplc="0419000F" w:tentative="1">
      <w:start w:val="1"/>
      <w:numFmt w:val="decimal"/>
      <w:lvlText w:val="%4."/>
      <w:lvlJc w:val="left"/>
      <w:pPr>
        <w:ind w:left="2839" w:hanging="360"/>
      </w:pPr>
      <w:rPr>
        <w:rFonts w:cs="Times New Roman"/>
      </w:rPr>
    </w:lvl>
    <w:lvl w:ilvl="4" w:tplc="04190019" w:tentative="1">
      <w:start w:val="1"/>
      <w:numFmt w:val="lowerLetter"/>
      <w:lvlText w:val="%5."/>
      <w:lvlJc w:val="left"/>
      <w:pPr>
        <w:ind w:left="3559" w:hanging="360"/>
      </w:pPr>
      <w:rPr>
        <w:rFonts w:cs="Times New Roman"/>
      </w:rPr>
    </w:lvl>
    <w:lvl w:ilvl="5" w:tplc="0419001B" w:tentative="1">
      <w:start w:val="1"/>
      <w:numFmt w:val="lowerRoman"/>
      <w:lvlText w:val="%6."/>
      <w:lvlJc w:val="right"/>
      <w:pPr>
        <w:ind w:left="4279" w:hanging="180"/>
      </w:pPr>
      <w:rPr>
        <w:rFonts w:cs="Times New Roman"/>
      </w:rPr>
    </w:lvl>
    <w:lvl w:ilvl="6" w:tplc="0419000F" w:tentative="1">
      <w:start w:val="1"/>
      <w:numFmt w:val="decimal"/>
      <w:lvlText w:val="%7."/>
      <w:lvlJc w:val="left"/>
      <w:pPr>
        <w:ind w:left="4999" w:hanging="360"/>
      </w:pPr>
      <w:rPr>
        <w:rFonts w:cs="Times New Roman"/>
      </w:rPr>
    </w:lvl>
    <w:lvl w:ilvl="7" w:tplc="04190019" w:tentative="1">
      <w:start w:val="1"/>
      <w:numFmt w:val="lowerLetter"/>
      <w:lvlText w:val="%8."/>
      <w:lvlJc w:val="left"/>
      <w:pPr>
        <w:ind w:left="5719" w:hanging="360"/>
      </w:pPr>
      <w:rPr>
        <w:rFonts w:cs="Times New Roman"/>
      </w:rPr>
    </w:lvl>
    <w:lvl w:ilvl="8" w:tplc="0419001B" w:tentative="1">
      <w:start w:val="1"/>
      <w:numFmt w:val="lowerRoman"/>
      <w:lvlText w:val="%9."/>
      <w:lvlJc w:val="right"/>
      <w:pPr>
        <w:ind w:left="6439" w:hanging="180"/>
      </w:pPr>
      <w:rPr>
        <w:rFonts w:cs="Times New Roman"/>
      </w:rPr>
    </w:lvl>
  </w:abstractNum>
  <w:abstractNum w:abstractNumId="35">
    <w:nsid w:val="60A32A11"/>
    <w:multiLevelType w:val="hybridMultilevel"/>
    <w:tmpl w:val="ABE273F4"/>
    <w:lvl w:ilvl="0" w:tplc="7BB68BCC">
      <w:start w:val="4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61891113"/>
    <w:multiLevelType w:val="hybridMultilevel"/>
    <w:tmpl w:val="8128672C"/>
    <w:lvl w:ilvl="0" w:tplc="7A602A9C">
      <w:start w:val="1"/>
      <w:numFmt w:val="bullet"/>
      <w:lvlText w:val="-"/>
      <w:lvlJc w:val="left"/>
      <w:pPr>
        <w:ind w:left="1004" w:hanging="360"/>
      </w:pPr>
      <w:rPr>
        <w:rFonts w:ascii="Courier New" w:hAnsi="Courier New"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2D7156F"/>
    <w:multiLevelType w:val="hybridMultilevel"/>
    <w:tmpl w:val="162E47DE"/>
    <w:lvl w:ilvl="0" w:tplc="7A602A9C">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40C6C2F"/>
    <w:multiLevelType w:val="hybridMultilevel"/>
    <w:tmpl w:val="39F6E06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64642BBA"/>
    <w:multiLevelType w:val="hybridMultilevel"/>
    <w:tmpl w:val="541E6C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A625E9"/>
    <w:multiLevelType w:val="multilevel"/>
    <w:tmpl w:val="3D289B6E"/>
    <w:lvl w:ilvl="0">
      <w:start w:val="1"/>
      <w:numFmt w:val="decimal"/>
      <w:lvlText w:val="%1."/>
      <w:lvlJc w:val="left"/>
      <w:pPr>
        <w:ind w:left="900"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55"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6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41">
    <w:nsid w:val="681D76DB"/>
    <w:multiLevelType w:val="hybridMultilevel"/>
    <w:tmpl w:val="116A7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9D54D35"/>
    <w:multiLevelType w:val="hybridMultilevel"/>
    <w:tmpl w:val="9A204898"/>
    <w:lvl w:ilvl="0" w:tplc="04190001">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2220"/>
        </w:tabs>
        <w:ind w:left="2220" w:hanging="360"/>
      </w:pPr>
      <w:rPr>
        <w:rFonts w:cs="Times New Roman"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3">
    <w:nsid w:val="6E771EB3"/>
    <w:multiLevelType w:val="multilevel"/>
    <w:tmpl w:val="F8A0DB8A"/>
    <w:lvl w:ilvl="0">
      <w:start w:val="22"/>
      <w:numFmt w:val="decimal"/>
      <w:lvlText w:val="%1"/>
      <w:lvlJc w:val="left"/>
      <w:pPr>
        <w:ind w:left="420" w:hanging="420"/>
      </w:pPr>
      <w:rPr>
        <w:rFonts w:cs="Times New Roman" w:hint="default"/>
      </w:rPr>
    </w:lvl>
    <w:lvl w:ilvl="1">
      <w:start w:val="4"/>
      <w:numFmt w:val="decimal"/>
      <w:lvlText w:val="%1.%2"/>
      <w:lvlJc w:val="left"/>
      <w:pPr>
        <w:ind w:left="2264" w:hanging="420"/>
      </w:pPr>
      <w:rPr>
        <w:rFonts w:cs="Times New Roman" w:hint="default"/>
        <w:b/>
        <w:i w:val="0"/>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44">
    <w:nsid w:val="7BB40CA1"/>
    <w:multiLevelType w:val="hybridMultilevel"/>
    <w:tmpl w:val="0318142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nsid w:val="7C6C02BD"/>
    <w:multiLevelType w:val="hybridMultilevel"/>
    <w:tmpl w:val="157C7EE4"/>
    <w:lvl w:ilvl="0" w:tplc="D34A710A">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6">
    <w:nsid w:val="7DA85A2C"/>
    <w:multiLevelType w:val="hybridMultilevel"/>
    <w:tmpl w:val="964EABD6"/>
    <w:lvl w:ilvl="0" w:tplc="2B90C0BC">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2"/>
  </w:num>
  <w:num w:numId="2">
    <w:abstractNumId w:val="21"/>
  </w:num>
  <w:num w:numId="3">
    <w:abstractNumId w:val="17"/>
  </w:num>
  <w:num w:numId="4">
    <w:abstractNumId w:val="7"/>
  </w:num>
  <w:num w:numId="5">
    <w:abstractNumId w:val="4"/>
  </w:num>
  <w:num w:numId="6">
    <w:abstractNumId w:val="4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5"/>
  </w:num>
  <w:num w:numId="11">
    <w:abstractNumId w:val="41"/>
  </w:num>
  <w:num w:numId="12">
    <w:abstractNumId w:val="44"/>
  </w:num>
  <w:num w:numId="13">
    <w:abstractNumId w:val="13"/>
  </w:num>
  <w:num w:numId="14">
    <w:abstractNumId w:val="39"/>
  </w:num>
  <w:num w:numId="15">
    <w:abstractNumId w:val="6"/>
  </w:num>
  <w:num w:numId="16">
    <w:abstractNumId w:val="22"/>
  </w:num>
  <w:num w:numId="17">
    <w:abstractNumId w:val="9"/>
  </w:num>
  <w:num w:numId="18">
    <w:abstractNumId w:val="8"/>
  </w:num>
  <w:num w:numId="19">
    <w:abstractNumId w:val="18"/>
  </w:num>
  <w:num w:numId="20">
    <w:abstractNumId w:val="19"/>
  </w:num>
  <w:num w:numId="21">
    <w:abstractNumId w:val="38"/>
  </w:num>
  <w:num w:numId="22">
    <w:abstractNumId w:val="1"/>
  </w:num>
  <w:num w:numId="23">
    <w:abstractNumId w:val="5"/>
  </w:num>
  <w:num w:numId="24">
    <w:abstractNumId w:val="16"/>
  </w:num>
  <w:num w:numId="25">
    <w:abstractNumId w:val="24"/>
  </w:num>
  <w:num w:numId="26">
    <w:abstractNumId w:val="28"/>
  </w:num>
  <w:num w:numId="27">
    <w:abstractNumId w:val="0"/>
    <w:lvlOverride w:ilvl="0"/>
    <w:lvlOverride w:ilvl="1"/>
    <w:lvlOverride w:ilvl="2"/>
    <w:lvlOverride w:ilvl="3"/>
    <w:lvlOverride w:ilvl="4"/>
    <w:lvlOverride w:ilvl="5"/>
    <w:lvlOverride w:ilvl="6"/>
    <w:lvlOverride w:ilvl="7"/>
    <w:lvlOverride w:ilvl="8"/>
  </w:num>
  <w:num w:numId="28">
    <w:abstractNumId w:val="0"/>
  </w:num>
  <w:num w:numId="29">
    <w:abstractNumId w:val="40"/>
  </w:num>
  <w:num w:numId="30">
    <w:abstractNumId w:val="31"/>
  </w:num>
  <w:num w:numId="31">
    <w:abstractNumId w:val="33"/>
  </w:num>
  <w:num w:numId="32">
    <w:abstractNumId w:val="37"/>
  </w:num>
  <w:num w:numId="33">
    <w:abstractNumId w:val="45"/>
  </w:num>
  <w:num w:numId="34">
    <w:abstractNumId w:val="20"/>
  </w:num>
  <w:num w:numId="35">
    <w:abstractNumId w:val="11"/>
  </w:num>
  <w:num w:numId="36">
    <w:abstractNumId w:val="3"/>
  </w:num>
  <w:num w:numId="37">
    <w:abstractNumId w:val="46"/>
  </w:num>
  <w:num w:numId="38">
    <w:abstractNumId w:val="29"/>
  </w:num>
  <w:num w:numId="39">
    <w:abstractNumId w:val="26"/>
  </w:num>
  <w:num w:numId="40">
    <w:abstractNumId w:val="30"/>
  </w:num>
  <w:num w:numId="41">
    <w:abstractNumId w:val="36"/>
  </w:num>
  <w:num w:numId="42">
    <w:abstractNumId w:val="43"/>
  </w:num>
  <w:num w:numId="43">
    <w:abstractNumId w:val="32"/>
  </w:num>
  <w:num w:numId="44">
    <w:abstractNumId w:val="35"/>
  </w:num>
  <w:num w:numId="45">
    <w:abstractNumId w:val="34"/>
  </w:num>
  <w:num w:numId="46">
    <w:abstractNumId w:val="23"/>
  </w:num>
  <w:num w:numId="47">
    <w:abstractNumId w:val="14"/>
  </w:num>
  <w:num w:numId="48">
    <w:abstractNumId w:val="2"/>
  </w:num>
  <w:num w:numId="49">
    <w:abstractNumId w:val="10"/>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A26AFB"/>
    <w:rsid w:val="00020953"/>
    <w:rsid w:val="00023431"/>
    <w:rsid w:val="000237BC"/>
    <w:rsid w:val="00024F2F"/>
    <w:rsid w:val="00026807"/>
    <w:rsid w:val="00026AB2"/>
    <w:rsid w:val="000329C9"/>
    <w:rsid w:val="000335C7"/>
    <w:rsid w:val="000367F0"/>
    <w:rsid w:val="0004137A"/>
    <w:rsid w:val="00043903"/>
    <w:rsid w:val="00044B70"/>
    <w:rsid w:val="00056478"/>
    <w:rsid w:val="00056D33"/>
    <w:rsid w:val="00082243"/>
    <w:rsid w:val="00083553"/>
    <w:rsid w:val="00083C16"/>
    <w:rsid w:val="0009087A"/>
    <w:rsid w:val="000917B5"/>
    <w:rsid w:val="000964D6"/>
    <w:rsid w:val="000A54DE"/>
    <w:rsid w:val="000B141D"/>
    <w:rsid w:val="000B3336"/>
    <w:rsid w:val="000B4FE4"/>
    <w:rsid w:val="000B572D"/>
    <w:rsid w:val="000C0F7F"/>
    <w:rsid w:val="000D3E2F"/>
    <w:rsid w:val="000D7F58"/>
    <w:rsid w:val="000E2815"/>
    <w:rsid w:val="000E403D"/>
    <w:rsid w:val="000F08D7"/>
    <w:rsid w:val="000F6177"/>
    <w:rsid w:val="00100458"/>
    <w:rsid w:val="0010069B"/>
    <w:rsid w:val="00111B8C"/>
    <w:rsid w:val="00111C0A"/>
    <w:rsid w:val="00115C9F"/>
    <w:rsid w:val="00117716"/>
    <w:rsid w:val="001203DB"/>
    <w:rsid w:val="00122528"/>
    <w:rsid w:val="0013780A"/>
    <w:rsid w:val="001459DC"/>
    <w:rsid w:val="00160EA8"/>
    <w:rsid w:val="00165ABF"/>
    <w:rsid w:val="00170244"/>
    <w:rsid w:val="0017257F"/>
    <w:rsid w:val="00173844"/>
    <w:rsid w:val="00177EB6"/>
    <w:rsid w:val="001860BD"/>
    <w:rsid w:val="00186846"/>
    <w:rsid w:val="001A1A00"/>
    <w:rsid w:val="001A645B"/>
    <w:rsid w:val="001B7639"/>
    <w:rsid w:val="001C11EC"/>
    <w:rsid w:val="001C4B4E"/>
    <w:rsid w:val="001C7AB9"/>
    <w:rsid w:val="001D0615"/>
    <w:rsid w:val="001D0FE9"/>
    <w:rsid w:val="001E1167"/>
    <w:rsid w:val="001E128A"/>
    <w:rsid w:val="001E55A1"/>
    <w:rsid w:val="001F2694"/>
    <w:rsid w:val="001F377D"/>
    <w:rsid w:val="00200626"/>
    <w:rsid w:val="00200DAA"/>
    <w:rsid w:val="0020511E"/>
    <w:rsid w:val="002053EF"/>
    <w:rsid w:val="00207B11"/>
    <w:rsid w:val="00211C62"/>
    <w:rsid w:val="00213010"/>
    <w:rsid w:val="00213807"/>
    <w:rsid w:val="0022263A"/>
    <w:rsid w:val="002346DE"/>
    <w:rsid w:val="002378C6"/>
    <w:rsid w:val="0024601A"/>
    <w:rsid w:val="0025681C"/>
    <w:rsid w:val="00272D55"/>
    <w:rsid w:val="002748ED"/>
    <w:rsid w:val="00284C8A"/>
    <w:rsid w:val="00290122"/>
    <w:rsid w:val="00290779"/>
    <w:rsid w:val="00290E16"/>
    <w:rsid w:val="00294239"/>
    <w:rsid w:val="002945D3"/>
    <w:rsid w:val="002A2801"/>
    <w:rsid w:val="002A53DD"/>
    <w:rsid w:val="002B2037"/>
    <w:rsid w:val="002C34A4"/>
    <w:rsid w:val="002C56D4"/>
    <w:rsid w:val="002C6ECD"/>
    <w:rsid w:val="002D08A5"/>
    <w:rsid w:val="002D44E9"/>
    <w:rsid w:val="002D4DFE"/>
    <w:rsid w:val="002E22FC"/>
    <w:rsid w:val="002F1421"/>
    <w:rsid w:val="003015A6"/>
    <w:rsid w:val="00303E8F"/>
    <w:rsid w:val="0031006B"/>
    <w:rsid w:val="003155D3"/>
    <w:rsid w:val="003270CC"/>
    <w:rsid w:val="00331412"/>
    <w:rsid w:val="003345A1"/>
    <w:rsid w:val="003347C8"/>
    <w:rsid w:val="003435E1"/>
    <w:rsid w:val="00344410"/>
    <w:rsid w:val="003516F9"/>
    <w:rsid w:val="00351946"/>
    <w:rsid w:val="00352E01"/>
    <w:rsid w:val="003614C7"/>
    <w:rsid w:val="003724B3"/>
    <w:rsid w:val="003724FD"/>
    <w:rsid w:val="00377A03"/>
    <w:rsid w:val="0038227D"/>
    <w:rsid w:val="003871D3"/>
    <w:rsid w:val="00387488"/>
    <w:rsid w:val="00390041"/>
    <w:rsid w:val="00391BCF"/>
    <w:rsid w:val="00392304"/>
    <w:rsid w:val="00394A5F"/>
    <w:rsid w:val="003A5F5F"/>
    <w:rsid w:val="003A6EC9"/>
    <w:rsid w:val="003A7ADB"/>
    <w:rsid w:val="003B1EB8"/>
    <w:rsid w:val="003C05F6"/>
    <w:rsid w:val="003C3E25"/>
    <w:rsid w:val="003C5119"/>
    <w:rsid w:val="003D3DD1"/>
    <w:rsid w:val="003D4297"/>
    <w:rsid w:val="003D455E"/>
    <w:rsid w:val="003E3F8D"/>
    <w:rsid w:val="003E577B"/>
    <w:rsid w:val="003E6977"/>
    <w:rsid w:val="003E7696"/>
    <w:rsid w:val="003E783A"/>
    <w:rsid w:val="003F258A"/>
    <w:rsid w:val="003F5B5E"/>
    <w:rsid w:val="003F7F48"/>
    <w:rsid w:val="00400EA8"/>
    <w:rsid w:val="004031A5"/>
    <w:rsid w:val="004037F6"/>
    <w:rsid w:val="00407DF4"/>
    <w:rsid w:val="00410D06"/>
    <w:rsid w:val="004133CC"/>
    <w:rsid w:val="00416854"/>
    <w:rsid w:val="00421439"/>
    <w:rsid w:val="00424415"/>
    <w:rsid w:val="00425C79"/>
    <w:rsid w:val="00426B68"/>
    <w:rsid w:val="00430423"/>
    <w:rsid w:val="004314B8"/>
    <w:rsid w:val="00455D6B"/>
    <w:rsid w:val="0046038D"/>
    <w:rsid w:val="004608E3"/>
    <w:rsid w:val="00463995"/>
    <w:rsid w:val="004648C8"/>
    <w:rsid w:val="00466FC3"/>
    <w:rsid w:val="004712FD"/>
    <w:rsid w:val="0048206A"/>
    <w:rsid w:val="0049493C"/>
    <w:rsid w:val="004955AA"/>
    <w:rsid w:val="004A6344"/>
    <w:rsid w:val="004B29A2"/>
    <w:rsid w:val="004B3E61"/>
    <w:rsid w:val="004B4275"/>
    <w:rsid w:val="004B4805"/>
    <w:rsid w:val="004C00BD"/>
    <w:rsid w:val="004C152A"/>
    <w:rsid w:val="004C386F"/>
    <w:rsid w:val="004C73CB"/>
    <w:rsid w:val="004C7408"/>
    <w:rsid w:val="004D0E86"/>
    <w:rsid w:val="004D3319"/>
    <w:rsid w:val="004F06BC"/>
    <w:rsid w:val="004F46E3"/>
    <w:rsid w:val="004F4A07"/>
    <w:rsid w:val="004F70F7"/>
    <w:rsid w:val="00502989"/>
    <w:rsid w:val="0050484D"/>
    <w:rsid w:val="00511D12"/>
    <w:rsid w:val="0051493D"/>
    <w:rsid w:val="0052074D"/>
    <w:rsid w:val="00520F72"/>
    <w:rsid w:val="0052406B"/>
    <w:rsid w:val="005240C2"/>
    <w:rsid w:val="0053083B"/>
    <w:rsid w:val="005337C0"/>
    <w:rsid w:val="005345F2"/>
    <w:rsid w:val="00536155"/>
    <w:rsid w:val="00536663"/>
    <w:rsid w:val="0054073A"/>
    <w:rsid w:val="00550110"/>
    <w:rsid w:val="00550834"/>
    <w:rsid w:val="00553053"/>
    <w:rsid w:val="0055659E"/>
    <w:rsid w:val="00566202"/>
    <w:rsid w:val="00574F0F"/>
    <w:rsid w:val="0057568B"/>
    <w:rsid w:val="00580967"/>
    <w:rsid w:val="00580E92"/>
    <w:rsid w:val="00582D76"/>
    <w:rsid w:val="00584B97"/>
    <w:rsid w:val="00586716"/>
    <w:rsid w:val="00587F1A"/>
    <w:rsid w:val="00595A26"/>
    <w:rsid w:val="005961DB"/>
    <w:rsid w:val="005A0009"/>
    <w:rsid w:val="005A58E4"/>
    <w:rsid w:val="005A5D55"/>
    <w:rsid w:val="005B70C0"/>
    <w:rsid w:val="005C04E7"/>
    <w:rsid w:val="005C3569"/>
    <w:rsid w:val="005C7E6E"/>
    <w:rsid w:val="005D0BDF"/>
    <w:rsid w:val="005E4295"/>
    <w:rsid w:val="005E47D5"/>
    <w:rsid w:val="005E7B4E"/>
    <w:rsid w:val="005F10CB"/>
    <w:rsid w:val="005F3478"/>
    <w:rsid w:val="0061735F"/>
    <w:rsid w:val="00627D1A"/>
    <w:rsid w:val="00633801"/>
    <w:rsid w:val="00634AED"/>
    <w:rsid w:val="00634C93"/>
    <w:rsid w:val="00643AFF"/>
    <w:rsid w:val="006449CC"/>
    <w:rsid w:val="006538B7"/>
    <w:rsid w:val="00656C1F"/>
    <w:rsid w:val="00671378"/>
    <w:rsid w:val="006723A3"/>
    <w:rsid w:val="00677512"/>
    <w:rsid w:val="00677D3E"/>
    <w:rsid w:val="00683538"/>
    <w:rsid w:val="00684388"/>
    <w:rsid w:val="00685E5D"/>
    <w:rsid w:val="00686C2A"/>
    <w:rsid w:val="006905AB"/>
    <w:rsid w:val="006928C8"/>
    <w:rsid w:val="006A070D"/>
    <w:rsid w:val="006A0F30"/>
    <w:rsid w:val="006A1792"/>
    <w:rsid w:val="006A48DC"/>
    <w:rsid w:val="006A7418"/>
    <w:rsid w:val="006A7F7E"/>
    <w:rsid w:val="006B0E9E"/>
    <w:rsid w:val="006D4385"/>
    <w:rsid w:val="006D61DB"/>
    <w:rsid w:val="006E33FF"/>
    <w:rsid w:val="006E63E3"/>
    <w:rsid w:val="006E7921"/>
    <w:rsid w:val="006F229B"/>
    <w:rsid w:val="006F2526"/>
    <w:rsid w:val="006F691E"/>
    <w:rsid w:val="0070099D"/>
    <w:rsid w:val="00700EAF"/>
    <w:rsid w:val="00703367"/>
    <w:rsid w:val="00717F0D"/>
    <w:rsid w:val="00733BD3"/>
    <w:rsid w:val="0074483F"/>
    <w:rsid w:val="0075218B"/>
    <w:rsid w:val="00760245"/>
    <w:rsid w:val="00761670"/>
    <w:rsid w:val="00761D43"/>
    <w:rsid w:val="00763901"/>
    <w:rsid w:val="007666B5"/>
    <w:rsid w:val="00767AF7"/>
    <w:rsid w:val="00777656"/>
    <w:rsid w:val="00777779"/>
    <w:rsid w:val="00781D09"/>
    <w:rsid w:val="00782517"/>
    <w:rsid w:val="00783983"/>
    <w:rsid w:val="00786B9F"/>
    <w:rsid w:val="00787067"/>
    <w:rsid w:val="00787422"/>
    <w:rsid w:val="007910DC"/>
    <w:rsid w:val="007921C0"/>
    <w:rsid w:val="007932D9"/>
    <w:rsid w:val="00795E8F"/>
    <w:rsid w:val="007A7521"/>
    <w:rsid w:val="007B2F65"/>
    <w:rsid w:val="007B6F46"/>
    <w:rsid w:val="007C0AD1"/>
    <w:rsid w:val="007C4950"/>
    <w:rsid w:val="007C4CE3"/>
    <w:rsid w:val="007C5B2F"/>
    <w:rsid w:val="007C7493"/>
    <w:rsid w:val="007D30D1"/>
    <w:rsid w:val="007D3405"/>
    <w:rsid w:val="007E1DF7"/>
    <w:rsid w:val="007E4006"/>
    <w:rsid w:val="007F3C30"/>
    <w:rsid w:val="007F660E"/>
    <w:rsid w:val="007F6B76"/>
    <w:rsid w:val="008045D7"/>
    <w:rsid w:val="008077B8"/>
    <w:rsid w:val="00813AF6"/>
    <w:rsid w:val="00820045"/>
    <w:rsid w:val="008205E1"/>
    <w:rsid w:val="00823CFC"/>
    <w:rsid w:val="00825DB5"/>
    <w:rsid w:val="0082651B"/>
    <w:rsid w:val="008301BF"/>
    <w:rsid w:val="008325D7"/>
    <w:rsid w:val="00835DB3"/>
    <w:rsid w:val="008368C8"/>
    <w:rsid w:val="008436D9"/>
    <w:rsid w:val="00846B64"/>
    <w:rsid w:val="00850E48"/>
    <w:rsid w:val="00851918"/>
    <w:rsid w:val="008557B5"/>
    <w:rsid w:val="0086177F"/>
    <w:rsid w:val="008635D0"/>
    <w:rsid w:val="008727FB"/>
    <w:rsid w:val="008758CE"/>
    <w:rsid w:val="00880E66"/>
    <w:rsid w:val="008835F7"/>
    <w:rsid w:val="008876A5"/>
    <w:rsid w:val="00890B2B"/>
    <w:rsid w:val="00891643"/>
    <w:rsid w:val="00896564"/>
    <w:rsid w:val="008B53FA"/>
    <w:rsid w:val="008B6FF8"/>
    <w:rsid w:val="008B738B"/>
    <w:rsid w:val="008C28BA"/>
    <w:rsid w:val="008D3D7B"/>
    <w:rsid w:val="008E344D"/>
    <w:rsid w:val="008E5474"/>
    <w:rsid w:val="008F2EC5"/>
    <w:rsid w:val="008F462B"/>
    <w:rsid w:val="008F7722"/>
    <w:rsid w:val="008F779C"/>
    <w:rsid w:val="008F7980"/>
    <w:rsid w:val="00910E01"/>
    <w:rsid w:val="00916CAB"/>
    <w:rsid w:val="009170FE"/>
    <w:rsid w:val="00922D96"/>
    <w:rsid w:val="009253EC"/>
    <w:rsid w:val="0092693B"/>
    <w:rsid w:val="00927214"/>
    <w:rsid w:val="00936334"/>
    <w:rsid w:val="00937405"/>
    <w:rsid w:val="0094208B"/>
    <w:rsid w:val="009423BB"/>
    <w:rsid w:val="00942BDB"/>
    <w:rsid w:val="00943975"/>
    <w:rsid w:val="00946217"/>
    <w:rsid w:val="0095262F"/>
    <w:rsid w:val="00952A09"/>
    <w:rsid w:val="00952EB6"/>
    <w:rsid w:val="00956563"/>
    <w:rsid w:val="00957AC1"/>
    <w:rsid w:val="00957F45"/>
    <w:rsid w:val="009602DE"/>
    <w:rsid w:val="00964A71"/>
    <w:rsid w:val="00973531"/>
    <w:rsid w:val="00980F4E"/>
    <w:rsid w:val="00982FBA"/>
    <w:rsid w:val="00985D9F"/>
    <w:rsid w:val="009901C3"/>
    <w:rsid w:val="009A4F16"/>
    <w:rsid w:val="009A7225"/>
    <w:rsid w:val="009A7B35"/>
    <w:rsid w:val="009B064B"/>
    <w:rsid w:val="009B2372"/>
    <w:rsid w:val="009B27A0"/>
    <w:rsid w:val="009B4D63"/>
    <w:rsid w:val="009C1D20"/>
    <w:rsid w:val="009C22E5"/>
    <w:rsid w:val="009C282F"/>
    <w:rsid w:val="009C3D37"/>
    <w:rsid w:val="009C3D5D"/>
    <w:rsid w:val="009C3DE5"/>
    <w:rsid w:val="009D3082"/>
    <w:rsid w:val="009D445E"/>
    <w:rsid w:val="009D5DFF"/>
    <w:rsid w:val="009D6D05"/>
    <w:rsid w:val="009E13D0"/>
    <w:rsid w:val="009E323B"/>
    <w:rsid w:val="009F3747"/>
    <w:rsid w:val="009F4001"/>
    <w:rsid w:val="009F5C2B"/>
    <w:rsid w:val="009F5C48"/>
    <w:rsid w:val="009F6F30"/>
    <w:rsid w:val="00A00C15"/>
    <w:rsid w:val="00A03558"/>
    <w:rsid w:val="00A041F6"/>
    <w:rsid w:val="00A068AE"/>
    <w:rsid w:val="00A11090"/>
    <w:rsid w:val="00A26AFB"/>
    <w:rsid w:val="00A4263D"/>
    <w:rsid w:val="00A436A3"/>
    <w:rsid w:val="00A451F2"/>
    <w:rsid w:val="00A45E05"/>
    <w:rsid w:val="00A56D72"/>
    <w:rsid w:val="00A61034"/>
    <w:rsid w:val="00A71058"/>
    <w:rsid w:val="00A715E2"/>
    <w:rsid w:val="00A74896"/>
    <w:rsid w:val="00A82851"/>
    <w:rsid w:val="00A852E7"/>
    <w:rsid w:val="00A872B4"/>
    <w:rsid w:val="00A928A7"/>
    <w:rsid w:val="00A9445E"/>
    <w:rsid w:val="00A96A67"/>
    <w:rsid w:val="00AB1C9C"/>
    <w:rsid w:val="00AB2997"/>
    <w:rsid w:val="00AC1DED"/>
    <w:rsid w:val="00AC1E22"/>
    <w:rsid w:val="00AC3ABF"/>
    <w:rsid w:val="00AC72B0"/>
    <w:rsid w:val="00AD027A"/>
    <w:rsid w:val="00AD5473"/>
    <w:rsid w:val="00AD6A18"/>
    <w:rsid w:val="00AE1A76"/>
    <w:rsid w:val="00AE37E2"/>
    <w:rsid w:val="00AF25DD"/>
    <w:rsid w:val="00AF534F"/>
    <w:rsid w:val="00AF6AF5"/>
    <w:rsid w:val="00AF6DB3"/>
    <w:rsid w:val="00AF7F94"/>
    <w:rsid w:val="00B009F9"/>
    <w:rsid w:val="00B01F1D"/>
    <w:rsid w:val="00B04048"/>
    <w:rsid w:val="00B05D5D"/>
    <w:rsid w:val="00B05D9C"/>
    <w:rsid w:val="00B12069"/>
    <w:rsid w:val="00B21E64"/>
    <w:rsid w:val="00B27590"/>
    <w:rsid w:val="00B31709"/>
    <w:rsid w:val="00B32FDD"/>
    <w:rsid w:val="00B3340D"/>
    <w:rsid w:val="00B401AA"/>
    <w:rsid w:val="00B402EF"/>
    <w:rsid w:val="00B4156E"/>
    <w:rsid w:val="00B4289B"/>
    <w:rsid w:val="00B437CA"/>
    <w:rsid w:val="00B46853"/>
    <w:rsid w:val="00B563E2"/>
    <w:rsid w:val="00B62ECA"/>
    <w:rsid w:val="00B6330D"/>
    <w:rsid w:val="00B64677"/>
    <w:rsid w:val="00B64F2F"/>
    <w:rsid w:val="00B66F31"/>
    <w:rsid w:val="00B67F44"/>
    <w:rsid w:val="00B70F12"/>
    <w:rsid w:val="00B71A6C"/>
    <w:rsid w:val="00B81354"/>
    <w:rsid w:val="00B81890"/>
    <w:rsid w:val="00B858B3"/>
    <w:rsid w:val="00B90485"/>
    <w:rsid w:val="00B926B4"/>
    <w:rsid w:val="00B9393F"/>
    <w:rsid w:val="00B97DE5"/>
    <w:rsid w:val="00BA05F4"/>
    <w:rsid w:val="00BA758D"/>
    <w:rsid w:val="00BB0DC3"/>
    <w:rsid w:val="00BB232D"/>
    <w:rsid w:val="00BB5283"/>
    <w:rsid w:val="00BC42F5"/>
    <w:rsid w:val="00BC46D3"/>
    <w:rsid w:val="00BD33C7"/>
    <w:rsid w:val="00BD5489"/>
    <w:rsid w:val="00BE1ACE"/>
    <w:rsid w:val="00BE7421"/>
    <w:rsid w:val="00C00453"/>
    <w:rsid w:val="00C00A8C"/>
    <w:rsid w:val="00C0247C"/>
    <w:rsid w:val="00C11821"/>
    <w:rsid w:val="00C11DD1"/>
    <w:rsid w:val="00C15AEE"/>
    <w:rsid w:val="00C22B1D"/>
    <w:rsid w:val="00C230CE"/>
    <w:rsid w:val="00C30D30"/>
    <w:rsid w:val="00C310AA"/>
    <w:rsid w:val="00C35E55"/>
    <w:rsid w:val="00C411A1"/>
    <w:rsid w:val="00C413A3"/>
    <w:rsid w:val="00C45098"/>
    <w:rsid w:val="00C453CF"/>
    <w:rsid w:val="00C52C04"/>
    <w:rsid w:val="00C559C2"/>
    <w:rsid w:val="00C56535"/>
    <w:rsid w:val="00C57E3D"/>
    <w:rsid w:val="00C6024B"/>
    <w:rsid w:val="00C76624"/>
    <w:rsid w:val="00C825BF"/>
    <w:rsid w:val="00C854C6"/>
    <w:rsid w:val="00C85F8A"/>
    <w:rsid w:val="00C968B3"/>
    <w:rsid w:val="00CA3401"/>
    <w:rsid w:val="00CB548B"/>
    <w:rsid w:val="00CB6771"/>
    <w:rsid w:val="00CC138A"/>
    <w:rsid w:val="00CC38C6"/>
    <w:rsid w:val="00CC5ECB"/>
    <w:rsid w:val="00CD1705"/>
    <w:rsid w:val="00CD19C5"/>
    <w:rsid w:val="00CD459E"/>
    <w:rsid w:val="00CD5845"/>
    <w:rsid w:val="00CD70A0"/>
    <w:rsid w:val="00CE587F"/>
    <w:rsid w:val="00CF1D52"/>
    <w:rsid w:val="00CF4052"/>
    <w:rsid w:val="00CF5D7D"/>
    <w:rsid w:val="00D01A0F"/>
    <w:rsid w:val="00D06B9F"/>
    <w:rsid w:val="00D11E18"/>
    <w:rsid w:val="00D13F43"/>
    <w:rsid w:val="00D257F1"/>
    <w:rsid w:val="00D274BB"/>
    <w:rsid w:val="00D3026A"/>
    <w:rsid w:val="00D31CD0"/>
    <w:rsid w:val="00D33C92"/>
    <w:rsid w:val="00D3706E"/>
    <w:rsid w:val="00D37531"/>
    <w:rsid w:val="00D43417"/>
    <w:rsid w:val="00D5257D"/>
    <w:rsid w:val="00D600E7"/>
    <w:rsid w:val="00D606E1"/>
    <w:rsid w:val="00D62A5B"/>
    <w:rsid w:val="00D62FA0"/>
    <w:rsid w:val="00D62FD0"/>
    <w:rsid w:val="00D644DF"/>
    <w:rsid w:val="00D704ED"/>
    <w:rsid w:val="00D76467"/>
    <w:rsid w:val="00D77C07"/>
    <w:rsid w:val="00D80A16"/>
    <w:rsid w:val="00D84682"/>
    <w:rsid w:val="00D91E14"/>
    <w:rsid w:val="00D97870"/>
    <w:rsid w:val="00DA6092"/>
    <w:rsid w:val="00DA7233"/>
    <w:rsid w:val="00DB7454"/>
    <w:rsid w:val="00DC4F8B"/>
    <w:rsid w:val="00DD17E8"/>
    <w:rsid w:val="00DD4844"/>
    <w:rsid w:val="00DD584E"/>
    <w:rsid w:val="00DD7CAD"/>
    <w:rsid w:val="00DE0B15"/>
    <w:rsid w:val="00DE329E"/>
    <w:rsid w:val="00DF6029"/>
    <w:rsid w:val="00E15599"/>
    <w:rsid w:val="00E21B42"/>
    <w:rsid w:val="00E23AA5"/>
    <w:rsid w:val="00E26007"/>
    <w:rsid w:val="00E3211D"/>
    <w:rsid w:val="00E346E6"/>
    <w:rsid w:val="00E4413B"/>
    <w:rsid w:val="00E4592D"/>
    <w:rsid w:val="00E45EF3"/>
    <w:rsid w:val="00E50C1C"/>
    <w:rsid w:val="00E51628"/>
    <w:rsid w:val="00E57ED4"/>
    <w:rsid w:val="00E61281"/>
    <w:rsid w:val="00E63821"/>
    <w:rsid w:val="00E663C3"/>
    <w:rsid w:val="00E704A2"/>
    <w:rsid w:val="00E7232C"/>
    <w:rsid w:val="00E72722"/>
    <w:rsid w:val="00E7683A"/>
    <w:rsid w:val="00E83E62"/>
    <w:rsid w:val="00E91ED2"/>
    <w:rsid w:val="00E91F4C"/>
    <w:rsid w:val="00E93B43"/>
    <w:rsid w:val="00E93D68"/>
    <w:rsid w:val="00E959DA"/>
    <w:rsid w:val="00EA0CDF"/>
    <w:rsid w:val="00EB0A19"/>
    <w:rsid w:val="00EB39A1"/>
    <w:rsid w:val="00EC525E"/>
    <w:rsid w:val="00EC6D06"/>
    <w:rsid w:val="00ED04A8"/>
    <w:rsid w:val="00ED643B"/>
    <w:rsid w:val="00ED6C2C"/>
    <w:rsid w:val="00EE2F8B"/>
    <w:rsid w:val="00EE557B"/>
    <w:rsid w:val="00EF0A38"/>
    <w:rsid w:val="00EF2525"/>
    <w:rsid w:val="00EF6817"/>
    <w:rsid w:val="00F01C52"/>
    <w:rsid w:val="00F03AFF"/>
    <w:rsid w:val="00F0745E"/>
    <w:rsid w:val="00F12ADB"/>
    <w:rsid w:val="00F16FC3"/>
    <w:rsid w:val="00F22BD5"/>
    <w:rsid w:val="00F36CF3"/>
    <w:rsid w:val="00F37791"/>
    <w:rsid w:val="00F42538"/>
    <w:rsid w:val="00F44AEF"/>
    <w:rsid w:val="00F45644"/>
    <w:rsid w:val="00F662CB"/>
    <w:rsid w:val="00F809A8"/>
    <w:rsid w:val="00F83832"/>
    <w:rsid w:val="00F85288"/>
    <w:rsid w:val="00F92278"/>
    <w:rsid w:val="00F96A83"/>
    <w:rsid w:val="00F96D4B"/>
    <w:rsid w:val="00FA3210"/>
    <w:rsid w:val="00FA5E23"/>
    <w:rsid w:val="00FB2351"/>
    <w:rsid w:val="00FB2497"/>
    <w:rsid w:val="00FB73A7"/>
    <w:rsid w:val="00FB7D89"/>
    <w:rsid w:val="00FC167E"/>
    <w:rsid w:val="00FD1740"/>
    <w:rsid w:val="00FD1AEA"/>
    <w:rsid w:val="00FD7465"/>
    <w:rsid w:val="00FE0883"/>
    <w:rsid w:val="00FF0C76"/>
    <w:rsid w:val="00FF12AA"/>
    <w:rsid w:val="00FF206E"/>
    <w:rsid w:val="00FF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AFB"/>
    <w:pPr>
      <w:spacing w:line="360" w:lineRule="atLeast"/>
      <w:jc w:val="both"/>
    </w:pPr>
    <w:rPr>
      <w:rFonts w:ascii="Times New Roman CYR" w:hAnsi="Times New Roman CYR"/>
      <w:sz w:val="28"/>
    </w:rPr>
  </w:style>
  <w:style w:type="paragraph" w:styleId="1">
    <w:name w:val="heading 1"/>
    <w:basedOn w:val="a"/>
    <w:next w:val="a"/>
    <w:link w:val="10"/>
    <w:uiPriority w:val="9"/>
    <w:qFormat/>
    <w:rsid w:val="006928C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50C1C"/>
    <w:pPr>
      <w:keepNext/>
      <w:spacing w:before="240" w:after="60"/>
      <w:outlineLvl w:val="1"/>
    </w:pPr>
    <w:rPr>
      <w:rFonts w:asciiTheme="majorHAnsi" w:eastAsiaTheme="majorEastAsia" w:hAnsiTheme="majorHAnsi"/>
      <w:b/>
      <w:bCs/>
      <w:i/>
      <w:iCs/>
      <w:szCs w:val="28"/>
    </w:rPr>
  </w:style>
  <w:style w:type="paragraph" w:styleId="5">
    <w:name w:val="heading 5"/>
    <w:basedOn w:val="a"/>
    <w:next w:val="a"/>
    <w:link w:val="50"/>
    <w:uiPriority w:val="9"/>
    <w:qFormat/>
    <w:rsid w:val="006928C8"/>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928C8"/>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E50C1C"/>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locked/>
    <w:rsid w:val="006928C8"/>
    <w:rPr>
      <w:rFonts w:ascii="Times New Roman CYR" w:hAnsi="Times New Roman CYR" w:cs="Times New Roman"/>
      <w:b/>
      <w:bCs/>
      <w:i/>
      <w:iCs/>
      <w:sz w:val="26"/>
      <w:szCs w:val="26"/>
    </w:rPr>
  </w:style>
  <w:style w:type="table" w:styleId="a3">
    <w:name w:val="Table Grid"/>
    <w:basedOn w:val="a1"/>
    <w:uiPriority w:val="59"/>
    <w:rsid w:val="00082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82243"/>
    <w:pPr>
      <w:widowControl w:val="0"/>
      <w:autoSpaceDE w:val="0"/>
      <w:autoSpaceDN w:val="0"/>
      <w:adjustRightInd w:val="0"/>
      <w:ind w:firstLine="720"/>
    </w:pPr>
    <w:rPr>
      <w:rFonts w:ascii="Arial" w:hAnsi="Arial" w:cs="Arial"/>
    </w:rPr>
  </w:style>
  <w:style w:type="paragraph" w:styleId="a4">
    <w:name w:val="Normal (Web)"/>
    <w:basedOn w:val="a"/>
    <w:uiPriority w:val="99"/>
    <w:rsid w:val="00082243"/>
    <w:pPr>
      <w:spacing w:before="100" w:after="100" w:line="240" w:lineRule="auto"/>
      <w:jc w:val="left"/>
    </w:pPr>
    <w:rPr>
      <w:rFonts w:ascii="Verdana" w:hAnsi="Verdana" w:cs="Verdana"/>
      <w:color w:val="000000"/>
      <w:sz w:val="21"/>
      <w:szCs w:val="21"/>
    </w:rPr>
  </w:style>
  <w:style w:type="character" w:styleId="a5">
    <w:name w:val="Hyperlink"/>
    <w:basedOn w:val="a0"/>
    <w:uiPriority w:val="99"/>
    <w:rsid w:val="0024601A"/>
    <w:rPr>
      <w:rFonts w:cs="Times New Roman"/>
      <w:color w:val="0000FF"/>
      <w:u w:val="single"/>
    </w:rPr>
  </w:style>
  <w:style w:type="paragraph" w:customStyle="1" w:styleId="BodyNum">
    <w:name w:val="Body Num"/>
    <w:basedOn w:val="a"/>
    <w:rsid w:val="00C85F8A"/>
    <w:pPr>
      <w:spacing w:after="120" w:line="240" w:lineRule="auto"/>
    </w:pPr>
    <w:rPr>
      <w:rFonts w:ascii="Times New Roman" w:hAnsi="Times New Roman"/>
      <w:sz w:val="24"/>
      <w:szCs w:val="24"/>
    </w:rPr>
  </w:style>
  <w:style w:type="paragraph" w:styleId="a6">
    <w:name w:val="Balloon Text"/>
    <w:basedOn w:val="a"/>
    <w:link w:val="a7"/>
    <w:uiPriority w:val="99"/>
    <w:rsid w:val="005F10CB"/>
    <w:pPr>
      <w:spacing w:line="240" w:lineRule="auto"/>
    </w:pPr>
    <w:rPr>
      <w:rFonts w:ascii="Tahoma" w:hAnsi="Tahoma" w:cs="Tahoma"/>
      <w:sz w:val="16"/>
      <w:szCs w:val="16"/>
    </w:rPr>
  </w:style>
  <w:style w:type="character" w:customStyle="1" w:styleId="a7">
    <w:name w:val="Текст выноски Знак"/>
    <w:basedOn w:val="a0"/>
    <w:link w:val="a6"/>
    <w:uiPriority w:val="99"/>
    <w:locked/>
    <w:rsid w:val="005F10CB"/>
    <w:rPr>
      <w:rFonts w:ascii="Tahoma" w:hAnsi="Tahoma" w:cs="Tahoma"/>
      <w:sz w:val="16"/>
      <w:szCs w:val="16"/>
    </w:rPr>
  </w:style>
  <w:style w:type="paragraph" w:styleId="a8">
    <w:name w:val="header"/>
    <w:basedOn w:val="a"/>
    <w:link w:val="a9"/>
    <w:uiPriority w:val="99"/>
    <w:rsid w:val="00685E5D"/>
    <w:pPr>
      <w:tabs>
        <w:tab w:val="center" w:pos="4677"/>
        <w:tab w:val="right" w:pos="9355"/>
      </w:tabs>
    </w:pPr>
  </w:style>
  <w:style w:type="character" w:customStyle="1" w:styleId="a9">
    <w:name w:val="Верхний колонтитул Знак"/>
    <w:basedOn w:val="a0"/>
    <w:link w:val="a8"/>
    <w:uiPriority w:val="99"/>
    <w:locked/>
    <w:rsid w:val="00685E5D"/>
    <w:rPr>
      <w:rFonts w:ascii="Times New Roman CYR" w:hAnsi="Times New Roman CYR" w:cs="Times New Roman"/>
      <w:sz w:val="28"/>
    </w:rPr>
  </w:style>
  <w:style w:type="paragraph" w:styleId="aa">
    <w:name w:val="footer"/>
    <w:basedOn w:val="a"/>
    <w:link w:val="ab"/>
    <w:uiPriority w:val="99"/>
    <w:rsid w:val="00685E5D"/>
    <w:pPr>
      <w:tabs>
        <w:tab w:val="center" w:pos="4677"/>
        <w:tab w:val="right" w:pos="9355"/>
      </w:tabs>
    </w:pPr>
  </w:style>
  <w:style w:type="character" w:customStyle="1" w:styleId="ab">
    <w:name w:val="Нижний колонтитул Знак"/>
    <w:basedOn w:val="a0"/>
    <w:link w:val="aa"/>
    <w:uiPriority w:val="99"/>
    <w:locked/>
    <w:rsid w:val="00685E5D"/>
    <w:rPr>
      <w:rFonts w:ascii="Times New Roman CYR" w:hAnsi="Times New Roman CYR" w:cs="Times New Roman"/>
      <w:sz w:val="28"/>
    </w:rPr>
  </w:style>
  <w:style w:type="paragraph" w:customStyle="1" w:styleId="ConsNonformat">
    <w:name w:val="ConsNonformat"/>
    <w:rsid w:val="00E50C1C"/>
    <w:pPr>
      <w:widowControl w:val="0"/>
    </w:pPr>
    <w:rPr>
      <w:rFonts w:ascii="Courier New" w:hAnsi="Courier New" w:cs="Courier New"/>
    </w:rPr>
  </w:style>
  <w:style w:type="paragraph" w:customStyle="1" w:styleId="H4">
    <w:name w:val="H4"/>
    <w:basedOn w:val="a"/>
    <w:next w:val="a"/>
    <w:rsid w:val="004F4A07"/>
    <w:pPr>
      <w:keepNext/>
      <w:spacing w:before="100" w:after="100" w:line="240" w:lineRule="auto"/>
      <w:jc w:val="left"/>
      <w:outlineLvl w:val="4"/>
    </w:pPr>
    <w:rPr>
      <w:rFonts w:ascii="Times New Roman" w:hAnsi="Times New Roman"/>
      <w:b/>
      <w:bCs/>
      <w:sz w:val="24"/>
      <w:szCs w:val="24"/>
      <w:lang w:eastAsia="en-US"/>
    </w:rPr>
  </w:style>
  <w:style w:type="character" w:styleId="ac">
    <w:name w:val="annotation reference"/>
    <w:basedOn w:val="a0"/>
    <w:uiPriority w:val="99"/>
    <w:unhideWhenUsed/>
    <w:rsid w:val="004F4A07"/>
    <w:rPr>
      <w:rFonts w:cs="Times New Roman"/>
      <w:sz w:val="16"/>
      <w:szCs w:val="16"/>
    </w:rPr>
  </w:style>
  <w:style w:type="paragraph" w:styleId="ad">
    <w:name w:val="annotation text"/>
    <w:basedOn w:val="a"/>
    <w:link w:val="ae"/>
    <w:uiPriority w:val="99"/>
    <w:unhideWhenUsed/>
    <w:rsid w:val="004F4A07"/>
    <w:pPr>
      <w:spacing w:line="240" w:lineRule="auto"/>
      <w:jc w:val="left"/>
    </w:pPr>
    <w:rPr>
      <w:rFonts w:ascii="Times New Roman" w:hAnsi="Times New Roman"/>
      <w:sz w:val="20"/>
    </w:rPr>
  </w:style>
  <w:style w:type="character" w:customStyle="1" w:styleId="ae">
    <w:name w:val="Текст примечания Знак"/>
    <w:basedOn w:val="a0"/>
    <w:link w:val="ad"/>
    <w:uiPriority w:val="99"/>
    <w:locked/>
    <w:rsid w:val="004F4A07"/>
    <w:rPr>
      <w:rFonts w:cs="Times New Roman"/>
    </w:rPr>
  </w:style>
  <w:style w:type="paragraph" w:styleId="af">
    <w:name w:val="annotation subject"/>
    <w:basedOn w:val="ad"/>
    <w:next w:val="ad"/>
    <w:link w:val="af0"/>
    <w:uiPriority w:val="99"/>
    <w:unhideWhenUsed/>
    <w:rsid w:val="004F4A07"/>
    <w:rPr>
      <w:b/>
      <w:bCs/>
    </w:rPr>
  </w:style>
  <w:style w:type="character" w:customStyle="1" w:styleId="af0">
    <w:name w:val="Тема примечания Знак"/>
    <w:basedOn w:val="ae"/>
    <w:link w:val="af"/>
    <w:uiPriority w:val="99"/>
    <w:locked/>
    <w:rsid w:val="004F4A07"/>
    <w:rPr>
      <w:b/>
      <w:bCs/>
    </w:rPr>
  </w:style>
  <w:style w:type="paragraph" w:styleId="af1">
    <w:name w:val="Revision"/>
    <w:hidden/>
    <w:uiPriority w:val="99"/>
    <w:semiHidden/>
    <w:rsid w:val="004F4A07"/>
    <w:rPr>
      <w:sz w:val="24"/>
      <w:szCs w:val="24"/>
    </w:rPr>
  </w:style>
  <w:style w:type="paragraph" w:customStyle="1" w:styleId="ConsNormal">
    <w:name w:val="ConsNormal"/>
    <w:rsid w:val="00574F0F"/>
    <w:pPr>
      <w:widowControl w:val="0"/>
      <w:ind w:firstLine="720"/>
    </w:pPr>
    <w:rPr>
      <w:rFonts w:ascii="Arial" w:hAnsi="Arial" w:cs="Arial"/>
    </w:rPr>
  </w:style>
  <w:style w:type="paragraph" w:styleId="af2">
    <w:name w:val="Body Text"/>
    <w:basedOn w:val="a"/>
    <w:link w:val="af3"/>
    <w:uiPriority w:val="99"/>
    <w:rsid w:val="00574F0F"/>
    <w:pPr>
      <w:spacing w:line="240" w:lineRule="auto"/>
    </w:pPr>
    <w:rPr>
      <w:rFonts w:ascii="Times New Roman" w:hAnsi="Times New Roman"/>
      <w:sz w:val="22"/>
    </w:rPr>
  </w:style>
  <w:style w:type="character" w:customStyle="1" w:styleId="af3">
    <w:name w:val="Основной текст Знак"/>
    <w:basedOn w:val="a0"/>
    <w:link w:val="af2"/>
    <w:uiPriority w:val="99"/>
    <w:locked/>
    <w:rsid w:val="00574F0F"/>
    <w:rPr>
      <w:rFonts w:cs="Times New Roman"/>
      <w:sz w:val="22"/>
    </w:rPr>
  </w:style>
  <w:style w:type="paragraph" w:styleId="af4">
    <w:name w:val="List Paragraph"/>
    <w:basedOn w:val="a"/>
    <w:uiPriority w:val="34"/>
    <w:qFormat/>
    <w:rsid w:val="007E4006"/>
    <w:pPr>
      <w:spacing w:after="200" w:line="276" w:lineRule="auto"/>
      <w:ind w:left="720"/>
      <w:contextualSpacing/>
      <w:jc w:val="left"/>
    </w:pPr>
    <w:rPr>
      <w:rFonts w:ascii="Calibri" w:hAnsi="Calibri"/>
      <w:sz w:val="22"/>
      <w:szCs w:val="22"/>
      <w:lang w:eastAsia="en-US"/>
    </w:rPr>
  </w:style>
  <w:style w:type="paragraph" w:customStyle="1" w:styleId="Default">
    <w:name w:val="Default"/>
    <w:rsid w:val="009C3D3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05144030">
      <w:marLeft w:val="0"/>
      <w:marRight w:val="0"/>
      <w:marTop w:val="0"/>
      <w:marBottom w:val="0"/>
      <w:divBdr>
        <w:top w:val="none" w:sz="0" w:space="0" w:color="auto"/>
        <w:left w:val="none" w:sz="0" w:space="0" w:color="auto"/>
        <w:bottom w:val="none" w:sz="0" w:space="0" w:color="auto"/>
        <w:right w:val="none" w:sz="0" w:space="0" w:color="auto"/>
      </w:divBdr>
    </w:div>
    <w:div w:id="905144031">
      <w:marLeft w:val="0"/>
      <w:marRight w:val="0"/>
      <w:marTop w:val="0"/>
      <w:marBottom w:val="0"/>
      <w:divBdr>
        <w:top w:val="none" w:sz="0" w:space="0" w:color="auto"/>
        <w:left w:val="none" w:sz="0" w:space="0" w:color="auto"/>
        <w:bottom w:val="none" w:sz="0" w:space="0" w:color="auto"/>
        <w:right w:val="none" w:sz="0" w:space="0" w:color="auto"/>
      </w:divBdr>
    </w:div>
    <w:div w:id="905144032">
      <w:marLeft w:val="0"/>
      <w:marRight w:val="0"/>
      <w:marTop w:val="0"/>
      <w:marBottom w:val="0"/>
      <w:divBdr>
        <w:top w:val="none" w:sz="0" w:space="0" w:color="auto"/>
        <w:left w:val="none" w:sz="0" w:space="0" w:color="auto"/>
        <w:bottom w:val="none" w:sz="0" w:space="0" w:color="auto"/>
        <w:right w:val="none" w:sz="0" w:space="0" w:color="auto"/>
      </w:divBdr>
    </w:div>
    <w:div w:id="905144033">
      <w:marLeft w:val="0"/>
      <w:marRight w:val="0"/>
      <w:marTop w:val="0"/>
      <w:marBottom w:val="0"/>
      <w:divBdr>
        <w:top w:val="none" w:sz="0" w:space="0" w:color="auto"/>
        <w:left w:val="none" w:sz="0" w:space="0" w:color="auto"/>
        <w:bottom w:val="none" w:sz="0" w:space="0" w:color="auto"/>
        <w:right w:val="none" w:sz="0" w:space="0" w:color="auto"/>
      </w:divBdr>
    </w:div>
    <w:div w:id="905144034">
      <w:marLeft w:val="0"/>
      <w:marRight w:val="0"/>
      <w:marTop w:val="0"/>
      <w:marBottom w:val="0"/>
      <w:divBdr>
        <w:top w:val="none" w:sz="0" w:space="0" w:color="auto"/>
        <w:left w:val="none" w:sz="0" w:space="0" w:color="auto"/>
        <w:bottom w:val="none" w:sz="0" w:space="0" w:color="auto"/>
        <w:right w:val="none" w:sz="0" w:space="0" w:color="auto"/>
      </w:divBdr>
    </w:div>
    <w:div w:id="905144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002_частично действующая редакция</Статус_x0020_документа>
    <_EndDate xmlns="http://schemas.microsoft.com/sharepoint/v3/fields">05.12.2019</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097B-C330-423C-954E-3D3FFA195309}"/>
</file>

<file path=customXml/itemProps2.xml><?xml version="1.0" encoding="utf-8"?>
<ds:datastoreItem xmlns:ds="http://schemas.openxmlformats.org/officeDocument/2006/customXml" ds:itemID="{429B0F48-2C63-468C-A092-A10A95DE50C0}"/>
</file>

<file path=customXml/itemProps3.xml><?xml version="1.0" encoding="utf-8"?>
<ds:datastoreItem xmlns:ds="http://schemas.openxmlformats.org/officeDocument/2006/customXml" ds:itemID="{342DDFD3-1C96-4220-9C9C-8A791C054246}"/>
</file>

<file path=customXml/itemProps4.xml><?xml version="1.0" encoding="utf-8"?>
<ds:datastoreItem xmlns:ds="http://schemas.openxmlformats.org/officeDocument/2006/customXml" ds:itemID="{99167164-21A9-4413-A27D-537C2D4D21F1}"/>
</file>

<file path=docProps/app.xml><?xml version="1.0" encoding="utf-8"?>
<Properties xmlns="http://schemas.openxmlformats.org/officeDocument/2006/extended-properties" xmlns:vt="http://schemas.openxmlformats.org/officeDocument/2006/docPropsVTypes">
  <Template>Normal.dotm</Template>
  <TotalTime>0</TotalTime>
  <Pages>18</Pages>
  <Words>9339</Words>
  <Characters>63844</Characters>
  <Application>Microsoft Office Word</Application>
  <DocSecurity>0</DocSecurity>
  <Lines>532</Lines>
  <Paragraphs>146</Paragraphs>
  <ScaleCrop>false</ScaleCrop>
  <Company>UralSib</Company>
  <LinksUpToDate>false</LinksUpToDate>
  <CharactersWithSpaces>73037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 к Правилам</dc:title>
  <dc:creator>Ковригин Василий Николаевич</dc:creator>
  <cp:lastModifiedBy>kondratieva</cp:lastModifiedBy>
  <cp:revision>2</cp:revision>
  <cp:lastPrinted>2019-11-05T12:26:00Z</cp:lastPrinted>
  <dcterms:created xsi:type="dcterms:W3CDTF">2019-12-06T06:53:00Z</dcterms:created>
  <dcterms:modified xsi:type="dcterms:W3CDTF">2019-12-06T06:53:00Z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