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87" w:rsidRPr="009D2390" w:rsidRDefault="008D5887" w:rsidP="009D239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9D2390">
        <w:rPr>
          <w:rFonts w:asciiTheme="minorHAnsi" w:hAnsiTheme="minorHAnsi" w:cs="Calibri"/>
          <w:b/>
          <w:bCs/>
          <w:sz w:val="18"/>
          <w:szCs w:val="18"/>
        </w:rPr>
        <w:t>ИЗМЕНЕНИЯ И ДОПОЛНЕНИЯ</w:t>
      </w:r>
      <w:r w:rsidR="008C4AA4" w:rsidRPr="009D2390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09150E">
        <w:rPr>
          <w:rFonts w:asciiTheme="minorHAnsi" w:hAnsiTheme="minorHAnsi" w:cs="Calibri"/>
          <w:b/>
          <w:bCs/>
          <w:sz w:val="18"/>
          <w:szCs w:val="18"/>
        </w:rPr>
        <w:t>№18</w:t>
      </w:r>
    </w:p>
    <w:p w:rsidR="008D5887" w:rsidRPr="009D2390" w:rsidRDefault="008D5887" w:rsidP="009D239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9D2390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8D5887" w:rsidRPr="009D2390" w:rsidRDefault="008D5887" w:rsidP="009D239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9D2390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8D5887" w:rsidRPr="009D2390" w:rsidRDefault="008D5887" w:rsidP="009D2390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9D2390">
        <w:rPr>
          <w:rFonts w:asciiTheme="minorHAnsi" w:hAnsiTheme="minorHAnsi" w:cs="Calibri"/>
          <w:b/>
          <w:bCs/>
          <w:sz w:val="18"/>
          <w:szCs w:val="18"/>
        </w:rPr>
        <w:t>«ТРОЙКА ДИАЛОГ – ТЕЛЕКОММУНИКАЦИИ»</w:t>
      </w:r>
    </w:p>
    <w:p w:rsidR="008D5887" w:rsidRPr="009D2390" w:rsidRDefault="008D5887" w:rsidP="009D2390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9D2390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8D5887" w:rsidRPr="009D2390" w:rsidRDefault="008D5887" w:rsidP="009D2390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9D2390">
        <w:rPr>
          <w:rFonts w:asciiTheme="minorHAnsi" w:hAnsiTheme="minorHAnsi" w:cs="Calibri"/>
          <w:sz w:val="18"/>
          <w:szCs w:val="18"/>
        </w:rPr>
        <w:t>31 августа 2006 года за №0596 – 94120696)</w:t>
      </w:r>
    </w:p>
    <w:tbl>
      <w:tblPr>
        <w:tblW w:w="5000" w:type="pct"/>
        <w:tblLook w:val="0000"/>
      </w:tblPr>
      <w:tblGrid>
        <w:gridCol w:w="5107"/>
        <w:gridCol w:w="5189"/>
      </w:tblGrid>
      <w:tr w:rsidR="00D85D32" w:rsidRPr="009D2390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54427C" w:rsidRDefault="00D85D32" w:rsidP="009D2390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2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54427C" w:rsidRDefault="00D85D32" w:rsidP="009D2390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2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09150E" w:rsidRPr="009D2390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09150E" w:rsidRPr="00B30A02" w:rsidRDefault="0009150E" w:rsidP="007441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09150E" w:rsidRPr="00B30A02" w:rsidRDefault="0009150E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  <w:tc>
          <w:tcPr>
            <w:tcW w:w="2520" w:type="pct"/>
          </w:tcPr>
          <w:p w:rsidR="0009150E" w:rsidRPr="00B30A02" w:rsidRDefault="0009150E" w:rsidP="007441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09150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09150E" w:rsidRPr="00B30A02" w:rsidRDefault="0009150E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</w:tr>
      <w:tr w:rsidR="0009150E" w:rsidRPr="009D2390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09150E" w:rsidRPr="00B30A02" w:rsidRDefault="0009150E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65.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 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09150E" w:rsidRPr="00B30A02" w:rsidRDefault="0009150E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агенту Общество с ограниченной ответственностью «Барклайс Банк» составляет:</w:t>
            </w:r>
          </w:p>
          <w:p w:rsidR="0009150E" w:rsidRPr="00B30A02" w:rsidRDefault="0009150E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Банк»;</w:t>
            </w:r>
          </w:p>
          <w:p w:rsidR="0009150E" w:rsidRPr="00B30A02" w:rsidRDefault="0009150E" w:rsidP="0074415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рублей: 1 % (один процент), включая НДС, от расчетной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Банк»;</w:t>
            </w:r>
          </w:p>
          <w:p w:rsidR="0009150E" w:rsidRPr="00B30A02" w:rsidRDefault="0009150E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Банк».</w:t>
            </w:r>
          </w:p>
          <w:p w:rsidR="0009150E" w:rsidRPr="00B30A02" w:rsidRDefault="0009150E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09150E" w:rsidRPr="00B30A02" w:rsidRDefault="0009150E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09150E" w:rsidRPr="00B30A02" w:rsidRDefault="0009150E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09150E" w:rsidRPr="00B30A02" w:rsidRDefault="0009150E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09150E" w:rsidRPr="00B30A02" w:rsidRDefault="0009150E" w:rsidP="00744155">
            <w:pPr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  <w:p w:rsidR="0009150E" w:rsidRPr="00B30A02" w:rsidRDefault="0009150E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Управляющей компании и 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Открытое акционерное общество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Сбербанк России»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09150E" w:rsidRPr="00B30A02" w:rsidRDefault="0009150E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20" w:type="pct"/>
          </w:tcPr>
          <w:p w:rsidR="0009150E" w:rsidRPr="00B30A02" w:rsidRDefault="0009150E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65.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 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Управляющей компании и Агентам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за исключением приобретения по заявкам, поданным агенту Закрытому акционерному обществу коммерческому банку “Ситибанк”,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», Закрытому акционерному обществу «Банк Интеза», 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>АКБ «РОСБАНК» (открытое акционерное общество),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09150E" w:rsidRPr="00B30A02" w:rsidRDefault="0009150E" w:rsidP="00744155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09150E" w:rsidRPr="00B30A02" w:rsidRDefault="0009150E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 xml:space="preserve">Закрытому акционерному обществу «Банк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lastRenderedPageBreak/>
              <w:t>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агенту Общество с ограниченной ответственностью «Экспобанк» составляет:</w:t>
            </w:r>
          </w:p>
          <w:p w:rsidR="0009150E" w:rsidRPr="00B30A02" w:rsidRDefault="0009150E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Экспобанк»;</w:t>
            </w:r>
          </w:p>
          <w:p w:rsidR="0009150E" w:rsidRPr="00B30A02" w:rsidRDefault="0009150E" w:rsidP="0074415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Экспобанк»;</w:t>
            </w:r>
          </w:p>
          <w:p w:rsidR="0009150E" w:rsidRPr="00B30A02" w:rsidRDefault="0009150E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Экспобанк».</w:t>
            </w:r>
          </w:p>
          <w:p w:rsidR="0009150E" w:rsidRPr="00B30A02" w:rsidRDefault="0009150E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09150E" w:rsidRPr="00B30A02" w:rsidRDefault="0009150E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09150E" w:rsidRPr="00B30A02" w:rsidRDefault="0009150E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09150E" w:rsidRPr="00B30A02" w:rsidRDefault="0009150E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09150E" w:rsidRPr="00B30A02" w:rsidRDefault="0009150E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</w:tc>
      </w:tr>
      <w:tr w:rsidR="0009150E" w:rsidRPr="009D2390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коммерческого банка «РОСБАНК» (открытоее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09150E" w:rsidRPr="00B30A02" w:rsidRDefault="0009150E" w:rsidP="00744155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09150E" w:rsidRPr="00B30A02" w:rsidRDefault="0009150E" w:rsidP="00744155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в Управляющую компанию;</w:t>
            </w:r>
          </w:p>
          <w:p w:rsidR="0009150E" w:rsidRPr="00B30A02" w:rsidRDefault="0009150E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Агентам.</w:t>
            </w:r>
          </w:p>
        </w:tc>
        <w:tc>
          <w:tcPr>
            <w:tcW w:w="2520" w:type="pct"/>
          </w:tcPr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коммерческого банка «РОСБАНК» (открытоее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09150E" w:rsidRPr="00B30A02" w:rsidRDefault="0009150E" w:rsidP="00744155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09150E" w:rsidRPr="00B30A02" w:rsidRDefault="0009150E" w:rsidP="00744155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в Управляющую компанию;</w:t>
            </w:r>
          </w:p>
          <w:p w:rsidR="0009150E" w:rsidRPr="00B30A02" w:rsidRDefault="0009150E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Агентам.</w:t>
            </w:r>
          </w:p>
        </w:tc>
      </w:tr>
      <w:tr w:rsidR="0009150E" w:rsidRPr="009D2390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», расчетная стоимость Инвестиционного пая уменьшается на скидку в размере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1 % (один процент), включая НДС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от расчетной стоимости Инвестиционного пая.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09150E" w:rsidRPr="00B30A02" w:rsidRDefault="0009150E" w:rsidP="007441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  <w:tc>
          <w:tcPr>
            <w:tcW w:w="2520" w:type="pct"/>
          </w:tcPr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78.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», расчетная стоимость Инвестиционного пая уменьшается на скидку в размере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1 % (один процент), включая НДС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от расчетной стоимости Инвестиционного пая.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09150E" w:rsidRPr="00B30A02" w:rsidRDefault="0009150E" w:rsidP="007441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</w:tr>
      <w:tr w:rsidR="0009150E" w:rsidRPr="009D2390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ab/>
              <w:t>84.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Нефтегазовый сектор”;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“Тройка Диалог – Финансовый сектор”;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“Тройка Диалог – </w:t>
            </w:r>
            <w:r w:rsidR="00ED25FD">
              <w:rPr>
                <w:rFonts w:asciiTheme="minorHAnsi" w:hAnsiTheme="minorHAnsi" w:cs="Calibri"/>
                <w:bCs/>
                <w:sz w:val="18"/>
                <w:szCs w:val="18"/>
              </w:rPr>
              <w:t>Добрыня Никитич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Металлургия”;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Электроэнергетика”;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09150E" w:rsidRPr="00B30A02" w:rsidRDefault="0009150E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Фонд денежного рынка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БРИК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pStyle w:val="22"/>
              <w:spacing w:after="120" w:line="240" w:lineRule="exact"/>
              <w:ind w:firstLine="720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B30A02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09150E" w:rsidRPr="00B30A02" w:rsidRDefault="0009150E" w:rsidP="00744155">
            <w:pPr>
              <w:spacing w:after="120" w:line="240" w:lineRule="exact"/>
              <w:ind w:firstLine="720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Инфраструктура”;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Агросектор”;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Глобальный Интернет”;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20" w:type="pct"/>
          </w:tcPr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84.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Нефтегазовый сектор”;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“Тройка Диалог – Финансовый сектор”;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“Тройка Диалог – </w:t>
            </w:r>
            <w:r w:rsidR="00ED25FD">
              <w:rPr>
                <w:rFonts w:asciiTheme="minorHAnsi" w:hAnsiTheme="minorHAnsi" w:cs="Calibri"/>
                <w:bCs/>
                <w:sz w:val="18"/>
                <w:szCs w:val="18"/>
              </w:rPr>
              <w:t>Добрыня Никитич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Металлургия”;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Электроэнергетика”;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09150E" w:rsidRPr="00B30A02" w:rsidRDefault="0009150E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Фонд денежного рынка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БРИК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09150E" w:rsidRPr="00B30A02" w:rsidRDefault="0009150E" w:rsidP="00744155">
            <w:pPr>
              <w:pStyle w:val="22"/>
              <w:spacing w:after="120" w:line="240" w:lineRule="exact"/>
              <w:ind w:firstLine="720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B30A02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09150E" w:rsidRPr="00B30A02" w:rsidRDefault="0009150E" w:rsidP="00744155">
            <w:pPr>
              <w:spacing w:after="120" w:line="240" w:lineRule="exact"/>
              <w:ind w:firstLine="720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Открытого паевого инвестиционного фонда акций “Тройка Диалог – Фонд активного управления”;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</w:t>
            </w:r>
            <w:r w:rsidRPr="00CE7DE6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Диалог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– Глобальный Интернет”;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09150E" w:rsidRPr="009D2390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  <w:tc>
          <w:tcPr>
            <w:tcW w:w="2520" w:type="pct"/>
          </w:tcPr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88.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 xml:space="preserve">Закрытого акционерного общества «Банк Интеза», Общества с ограниченной ответственностью </w:t>
            </w: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«Экспобанк».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09150E" w:rsidRPr="00B30A02" w:rsidRDefault="0009150E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  <w:p w:rsidR="0009150E" w:rsidRPr="00B30A02" w:rsidRDefault="0009150E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:rsidR="0009150E" w:rsidRPr="0009150E" w:rsidRDefault="0009150E" w:rsidP="0009150E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09150E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09150E" w:rsidRPr="0009150E" w:rsidRDefault="0009150E" w:rsidP="0009150E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09150E">
        <w:rPr>
          <w:rFonts w:ascii="Calibri" w:hAnsi="Calibri" w:cs="Calibri"/>
          <w:b/>
          <w:bCs/>
          <w:i/>
          <w:iCs/>
          <w:sz w:val="18"/>
          <w:szCs w:val="18"/>
        </w:rPr>
        <w:t xml:space="preserve"> Отдела по структурированию и поддержке фондов</w:t>
      </w:r>
    </w:p>
    <w:p w:rsidR="0009150E" w:rsidRPr="0009150E" w:rsidRDefault="0009150E" w:rsidP="0009150E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09150E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E014C1" w:rsidRDefault="0009150E" w:rsidP="0009150E">
      <w:pPr>
        <w:spacing w:line="240" w:lineRule="exact"/>
        <w:rPr>
          <w:rFonts w:ascii="Arial" w:hAnsi="Arial" w:cs="Arial"/>
          <w:sz w:val="14"/>
          <w:szCs w:val="14"/>
        </w:rPr>
      </w:pPr>
      <w:r w:rsidRPr="0009150E">
        <w:rPr>
          <w:rFonts w:ascii="Calibri" w:hAnsi="Calibri" w:cs="Calibri"/>
          <w:b/>
          <w:bCs/>
          <w:i/>
          <w:iCs/>
          <w:sz w:val="18"/>
          <w:szCs w:val="18"/>
        </w:rPr>
        <w:t xml:space="preserve">«Управляющая компания «Тройка Диалог»                                                                                </w:t>
      </w:r>
      <w:r w:rsidRPr="0009150E">
        <w:rPr>
          <w:rFonts w:ascii="Calibri" w:hAnsi="Calibri" w:cs="Calibri"/>
          <w:b/>
          <w:bCs/>
          <w:i/>
          <w:iCs/>
          <w:sz w:val="18"/>
          <w:szCs w:val="18"/>
        </w:rPr>
        <w:tab/>
        <w:t xml:space="preserve">                            В.А. Илларионов</w:t>
      </w:r>
      <w:r w:rsidRPr="0009150E">
        <w:rPr>
          <w:rFonts w:ascii="Calibri" w:hAnsi="Calibri" w:cs="Calibri"/>
          <w:sz w:val="18"/>
          <w:szCs w:val="18"/>
        </w:rPr>
        <w:t xml:space="preserve"> </w:t>
      </w:r>
    </w:p>
    <w:p w:rsidR="00E014C1" w:rsidRDefault="00E014C1" w:rsidP="00E014C1">
      <w:pPr>
        <w:ind w:left="5760" w:firstLine="720"/>
        <w:jc w:val="center"/>
        <w:rPr>
          <w:rFonts w:ascii="Arial" w:hAnsi="Arial" w:cs="Arial"/>
          <w:sz w:val="14"/>
          <w:szCs w:val="14"/>
        </w:rPr>
      </w:pPr>
    </w:p>
    <w:p w:rsidR="00E014C1" w:rsidRDefault="00E014C1" w:rsidP="00E014C1">
      <w:pPr>
        <w:ind w:left="5760" w:firstLine="720"/>
        <w:jc w:val="center"/>
        <w:rPr>
          <w:rFonts w:ascii="Arial" w:hAnsi="Arial" w:cs="Arial"/>
          <w:sz w:val="14"/>
          <w:szCs w:val="14"/>
        </w:rPr>
      </w:pPr>
    </w:p>
    <w:p w:rsidR="003147B0" w:rsidRDefault="003147B0" w:rsidP="00A70380">
      <w:pPr>
        <w:pStyle w:val="fieldcomment"/>
        <w:spacing w:before="0" w:after="0" w:line="240" w:lineRule="exact"/>
        <w:rPr>
          <w:b/>
          <w:bCs/>
          <w:i/>
          <w:iCs/>
          <w:sz w:val="18"/>
          <w:szCs w:val="18"/>
          <w:lang w:val="ru-RU"/>
        </w:rPr>
      </w:pPr>
    </w:p>
    <w:p w:rsidR="006C71D4" w:rsidRPr="00675F25" w:rsidRDefault="00A6524B" w:rsidP="00A70380">
      <w:pPr>
        <w:spacing w:line="240" w:lineRule="exact"/>
      </w:pPr>
      <w:r>
        <w:t xml:space="preserve"> </w:t>
      </w:r>
    </w:p>
    <w:sectPr w:rsidR="006C71D4" w:rsidRPr="00675F25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F0D" w:rsidRDefault="008E0F0D">
      <w:r>
        <w:separator/>
      </w:r>
    </w:p>
  </w:endnote>
  <w:endnote w:type="continuationSeparator" w:id="0">
    <w:p w:rsidR="008E0F0D" w:rsidRDefault="008E0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Arial Unicode MS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255FC6">
      <w:rPr>
        <w:rStyle w:val="af3"/>
        <w:rFonts w:ascii="Arial" w:hAnsi="Arial" w:cs="Arial"/>
        <w:i/>
        <w:iCs/>
        <w:noProof/>
        <w:sz w:val="14"/>
        <w:szCs w:val="14"/>
      </w:rPr>
      <w:t>4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09150E">
      <w:rPr>
        <w:rStyle w:val="af3"/>
        <w:rFonts w:ascii="Arial" w:hAnsi="Arial" w:cs="Arial"/>
        <w:i/>
        <w:iCs/>
        <w:sz w:val="14"/>
        <w:szCs w:val="14"/>
      </w:rPr>
      <w:t>4</w:t>
    </w: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8C4AA4">
      <w:rPr>
        <w:rFonts w:ascii="Arial" w:hAnsi="Arial" w:cs="Arial"/>
        <w:i/>
        <w:iCs/>
        <w:sz w:val="14"/>
        <w:szCs w:val="14"/>
      </w:rPr>
      <w:t>акций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8C4AA4">
      <w:rPr>
        <w:rFonts w:ascii="Arial" w:hAnsi="Arial" w:cs="Arial"/>
        <w:i/>
        <w:iCs/>
        <w:sz w:val="14"/>
        <w:szCs w:val="14"/>
      </w:rPr>
      <w:t>Телекоммуникации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F0D" w:rsidRDefault="008E0F0D">
      <w:r>
        <w:separator/>
      </w:r>
    </w:p>
  </w:footnote>
  <w:footnote w:type="continuationSeparator" w:id="0">
    <w:p w:rsidR="008E0F0D" w:rsidRDefault="008E0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1"/>
  </w:num>
  <w:num w:numId="3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22A1"/>
    <w:rsid w:val="000378DD"/>
    <w:rsid w:val="0004394B"/>
    <w:rsid w:val="000532BF"/>
    <w:rsid w:val="0007410A"/>
    <w:rsid w:val="000759BF"/>
    <w:rsid w:val="0009150E"/>
    <w:rsid w:val="000A7029"/>
    <w:rsid w:val="000B3355"/>
    <w:rsid w:val="000B75BB"/>
    <w:rsid w:val="000E5BDE"/>
    <w:rsid w:val="000F1155"/>
    <w:rsid w:val="00113AAE"/>
    <w:rsid w:val="001263DE"/>
    <w:rsid w:val="00135BDD"/>
    <w:rsid w:val="00141374"/>
    <w:rsid w:val="00141F0E"/>
    <w:rsid w:val="00156485"/>
    <w:rsid w:val="00170BF7"/>
    <w:rsid w:val="00172771"/>
    <w:rsid w:val="00177EBA"/>
    <w:rsid w:val="00191234"/>
    <w:rsid w:val="001B5C25"/>
    <w:rsid w:val="001B5D28"/>
    <w:rsid w:val="001E4EF4"/>
    <w:rsid w:val="00220B03"/>
    <w:rsid w:val="00237880"/>
    <w:rsid w:val="00240817"/>
    <w:rsid w:val="00255FC6"/>
    <w:rsid w:val="00272082"/>
    <w:rsid w:val="002754F4"/>
    <w:rsid w:val="00297327"/>
    <w:rsid w:val="002C3114"/>
    <w:rsid w:val="002C47D8"/>
    <w:rsid w:val="002D27AF"/>
    <w:rsid w:val="002D36E2"/>
    <w:rsid w:val="002E6C8B"/>
    <w:rsid w:val="003038E9"/>
    <w:rsid w:val="003147B0"/>
    <w:rsid w:val="003200C5"/>
    <w:rsid w:val="00345B85"/>
    <w:rsid w:val="00352312"/>
    <w:rsid w:val="003711A7"/>
    <w:rsid w:val="00383CEA"/>
    <w:rsid w:val="0039284E"/>
    <w:rsid w:val="003A3628"/>
    <w:rsid w:val="003C5B3B"/>
    <w:rsid w:val="003D6C44"/>
    <w:rsid w:val="003F10E3"/>
    <w:rsid w:val="00421E34"/>
    <w:rsid w:val="004424DF"/>
    <w:rsid w:val="00442874"/>
    <w:rsid w:val="00462C43"/>
    <w:rsid w:val="004742FD"/>
    <w:rsid w:val="00477BEB"/>
    <w:rsid w:val="00482F83"/>
    <w:rsid w:val="00484000"/>
    <w:rsid w:val="0049031D"/>
    <w:rsid w:val="004904B4"/>
    <w:rsid w:val="00491CCE"/>
    <w:rsid w:val="004B2756"/>
    <w:rsid w:val="004B7B50"/>
    <w:rsid w:val="004D11FA"/>
    <w:rsid w:val="00505661"/>
    <w:rsid w:val="005332B8"/>
    <w:rsid w:val="00540B97"/>
    <w:rsid w:val="00542544"/>
    <w:rsid w:val="0054427C"/>
    <w:rsid w:val="00565616"/>
    <w:rsid w:val="00571BE0"/>
    <w:rsid w:val="00582A93"/>
    <w:rsid w:val="00582E64"/>
    <w:rsid w:val="00591B11"/>
    <w:rsid w:val="005A5521"/>
    <w:rsid w:val="005A70F4"/>
    <w:rsid w:val="005B2C57"/>
    <w:rsid w:val="005B4452"/>
    <w:rsid w:val="005C7005"/>
    <w:rsid w:val="005D6F04"/>
    <w:rsid w:val="005E10F4"/>
    <w:rsid w:val="00612A33"/>
    <w:rsid w:val="00624D38"/>
    <w:rsid w:val="00625200"/>
    <w:rsid w:val="00636C0F"/>
    <w:rsid w:val="00651C01"/>
    <w:rsid w:val="0066335E"/>
    <w:rsid w:val="00673C79"/>
    <w:rsid w:val="00675F25"/>
    <w:rsid w:val="0069478C"/>
    <w:rsid w:val="006A5496"/>
    <w:rsid w:val="006A6D03"/>
    <w:rsid w:val="006B1942"/>
    <w:rsid w:val="006B7B0D"/>
    <w:rsid w:val="006C0509"/>
    <w:rsid w:val="006C51E0"/>
    <w:rsid w:val="006C71D4"/>
    <w:rsid w:val="006E5A4C"/>
    <w:rsid w:val="006F7518"/>
    <w:rsid w:val="00707BB4"/>
    <w:rsid w:val="00707C8E"/>
    <w:rsid w:val="00734C93"/>
    <w:rsid w:val="00744155"/>
    <w:rsid w:val="00762C34"/>
    <w:rsid w:val="00765126"/>
    <w:rsid w:val="007675DF"/>
    <w:rsid w:val="007907BD"/>
    <w:rsid w:val="00795E21"/>
    <w:rsid w:val="007A1EDD"/>
    <w:rsid w:val="007B2128"/>
    <w:rsid w:val="007B31D5"/>
    <w:rsid w:val="007B6C28"/>
    <w:rsid w:val="007C06AB"/>
    <w:rsid w:val="007C57AA"/>
    <w:rsid w:val="007C7710"/>
    <w:rsid w:val="007D6FC5"/>
    <w:rsid w:val="00813367"/>
    <w:rsid w:val="00827560"/>
    <w:rsid w:val="00834708"/>
    <w:rsid w:val="00851C25"/>
    <w:rsid w:val="00857C91"/>
    <w:rsid w:val="00861A26"/>
    <w:rsid w:val="00863DAB"/>
    <w:rsid w:val="0086676E"/>
    <w:rsid w:val="008814DF"/>
    <w:rsid w:val="00893B0B"/>
    <w:rsid w:val="008A6B57"/>
    <w:rsid w:val="008A7741"/>
    <w:rsid w:val="008C4AA4"/>
    <w:rsid w:val="008C5091"/>
    <w:rsid w:val="008D39A1"/>
    <w:rsid w:val="008D5887"/>
    <w:rsid w:val="008D6A80"/>
    <w:rsid w:val="008E0F0D"/>
    <w:rsid w:val="00902057"/>
    <w:rsid w:val="00905785"/>
    <w:rsid w:val="009174A2"/>
    <w:rsid w:val="009327C1"/>
    <w:rsid w:val="00937F66"/>
    <w:rsid w:val="009449FC"/>
    <w:rsid w:val="00946F8C"/>
    <w:rsid w:val="00963492"/>
    <w:rsid w:val="00964B64"/>
    <w:rsid w:val="00967D6F"/>
    <w:rsid w:val="00985F52"/>
    <w:rsid w:val="009A3416"/>
    <w:rsid w:val="009A380B"/>
    <w:rsid w:val="009C23DA"/>
    <w:rsid w:val="009C5A05"/>
    <w:rsid w:val="009C6B3E"/>
    <w:rsid w:val="009D2390"/>
    <w:rsid w:val="009F7C16"/>
    <w:rsid w:val="00A033BE"/>
    <w:rsid w:val="00A053C5"/>
    <w:rsid w:val="00A160AC"/>
    <w:rsid w:val="00A265C3"/>
    <w:rsid w:val="00A6524B"/>
    <w:rsid w:val="00A70380"/>
    <w:rsid w:val="00A90B49"/>
    <w:rsid w:val="00A95C5D"/>
    <w:rsid w:val="00A96D9A"/>
    <w:rsid w:val="00AB58F1"/>
    <w:rsid w:val="00AC5E09"/>
    <w:rsid w:val="00AD396F"/>
    <w:rsid w:val="00B05DAE"/>
    <w:rsid w:val="00B30A02"/>
    <w:rsid w:val="00B373C1"/>
    <w:rsid w:val="00B44033"/>
    <w:rsid w:val="00B648E9"/>
    <w:rsid w:val="00B70109"/>
    <w:rsid w:val="00B757EE"/>
    <w:rsid w:val="00B769FD"/>
    <w:rsid w:val="00B85D86"/>
    <w:rsid w:val="00BA4097"/>
    <w:rsid w:val="00BC0138"/>
    <w:rsid w:val="00BD0B42"/>
    <w:rsid w:val="00BD4DBE"/>
    <w:rsid w:val="00BE480F"/>
    <w:rsid w:val="00C11C8A"/>
    <w:rsid w:val="00C21978"/>
    <w:rsid w:val="00C25F88"/>
    <w:rsid w:val="00C41B47"/>
    <w:rsid w:val="00C440B1"/>
    <w:rsid w:val="00C466BF"/>
    <w:rsid w:val="00C479B0"/>
    <w:rsid w:val="00C654CA"/>
    <w:rsid w:val="00CC30B0"/>
    <w:rsid w:val="00CD6A90"/>
    <w:rsid w:val="00CE7DE6"/>
    <w:rsid w:val="00CF320A"/>
    <w:rsid w:val="00CF51C4"/>
    <w:rsid w:val="00CF76B2"/>
    <w:rsid w:val="00D108FF"/>
    <w:rsid w:val="00D132FD"/>
    <w:rsid w:val="00D17A02"/>
    <w:rsid w:val="00D2133A"/>
    <w:rsid w:val="00D22A6A"/>
    <w:rsid w:val="00D318A9"/>
    <w:rsid w:val="00D33616"/>
    <w:rsid w:val="00D33EBA"/>
    <w:rsid w:val="00D412D9"/>
    <w:rsid w:val="00D4183E"/>
    <w:rsid w:val="00D441B6"/>
    <w:rsid w:val="00D47307"/>
    <w:rsid w:val="00D47F51"/>
    <w:rsid w:val="00D50514"/>
    <w:rsid w:val="00D5707F"/>
    <w:rsid w:val="00D6324D"/>
    <w:rsid w:val="00D7174B"/>
    <w:rsid w:val="00D85D32"/>
    <w:rsid w:val="00DB60A8"/>
    <w:rsid w:val="00DB634A"/>
    <w:rsid w:val="00DC6AE3"/>
    <w:rsid w:val="00DE51A5"/>
    <w:rsid w:val="00DF3D2E"/>
    <w:rsid w:val="00DF6B36"/>
    <w:rsid w:val="00E014C1"/>
    <w:rsid w:val="00E05F2C"/>
    <w:rsid w:val="00E12AD1"/>
    <w:rsid w:val="00E256E0"/>
    <w:rsid w:val="00E328F7"/>
    <w:rsid w:val="00E51687"/>
    <w:rsid w:val="00E60562"/>
    <w:rsid w:val="00E66810"/>
    <w:rsid w:val="00EA41B4"/>
    <w:rsid w:val="00ED25FD"/>
    <w:rsid w:val="00EE51BA"/>
    <w:rsid w:val="00EE5686"/>
    <w:rsid w:val="00EF32CD"/>
    <w:rsid w:val="00EF5282"/>
    <w:rsid w:val="00EF71AF"/>
    <w:rsid w:val="00F10742"/>
    <w:rsid w:val="00F15105"/>
    <w:rsid w:val="00F34072"/>
    <w:rsid w:val="00F4573B"/>
    <w:rsid w:val="00F52475"/>
    <w:rsid w:val="00F56A4B"/>
    <w:rsid w:val="00F61FC4"/>
    <w:rsid w:val="00F6231D"/>
    <w:rsid w:val="00F66210"/>
    <w:rsid w:val="00F676C4"/>
    <w:rsid w:val="00F67A34"/>
    <w:rsid w:val="00F74123"/>
    <w:rsid w:val="00F951E8"/>
    <w:rsid w:val="00FC240D"/>
    <w:rsid w:val="00FC3B2F"/>
    <w:rsid w:val="00FD46E9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018_действующая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B7DAABE8-955C-4570-B905-74E9674C055F}"/>
</file>

<file path=customXml/itemProps2.xml><?xml version="1.0" encoding="utf-8"?>
<ds:datastoreItem xmlns:ds="http://schemas.openxmlformats.org/officeDocument/2006/customXml" ds:itemID="{FF245259-BDD8-4131-B548-A90F11F6C2B2}"/>
</file>

<file path=customXml/itemProps3.xml><?xml version="1.0" encoding="utf-8"?>
<ds:datastoreItem xmlns:ds="http://schemas.openxmlformats.org/officeDocument/2006/customXml" ds:itemID="{F7C72896-7037-4FB2-8B72-58DBA4137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2245</Words>
  <Characters>15902</Characters>
  <Application>Microsoft Office Word</Application>
  <DocSecurity>0</DocSecurity>
  <Lines>132</Lines>
  <Paragraphs>36</Paragraphs>
  <ScaleCrop>false</ScaleCrop>
  <Company>3D</Company>
  <LinksUpToDate>false</LinksUpToDate>
  <CharactersWithSpaces>18111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2012-03-15T06:05:00Z</cp:lastPrinted>
  <dcterms:created xsi:type="dcterms:W3CDTF">2012-11-02T13:24:00Z</dcterms:created>
  <dcterms:modified xsi:type="dcterms:W3CDTF">2012-11-02T13:24:00Z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