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F063F7" w:rsidRDefault="00A053C5" w:rsidP="00F063F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063F7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F063F7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F63BCD">
        <w:rPr>
          <w:rFonts w:asciiTheme="minorHAnsi" w:hAnsiTheme="minorHAnsi" w:cs="Calibri"/>
          <w:b/>
          <w:bCs/>
          <w:sz w:val="18"/>
          <w:szCs w:val="18"/>
        </w:rPr>
        <w:t xml:space="preserve"> №4</w:t>
      </w:r>
    </w:p>
    <w:p w:rsidR="00A053C5" w:rsidRPr="00F063F7" w:rsidRDefault="00A053C5" w:rsidP="00F063F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063F7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F063F7" w:rsidRDefault="00A053C5" w:rsidP="00F063F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063F7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A053C5" w:rsidRPr="00F063F7" w:rsidRDefault="00A053C5" w:rsidP="00F063F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063F7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AB7723" w:rsidRPr="00F063F7">
        <w:rPr>
          <w:rFonts w:asciiTheme="minorHAnsi" w:hAnsiTheme="minorHAnsi" w:cs="Calibri"/>
          <w:b/>
          <w:bCs/>
          <w:sz w:val="18"/>
          <w:szCs w:val="18"/>
        </w:rPr>
        <w:t>КОМПАНИИ РЫНКА ДРАГОЦЕННЫХ МЕТАЛЛОВ</w:t>
      </w:r>
      <w:r w:rsidRPr="00F063F7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F063F7" w:rsidRDefault="00A053C5" w:rsidP="00F063F7">
      <w:pPr>
        <w:spacing w:after="120" w:line="240" w:lineRule="exact"/>
        <w:ind w:firstLine="709"/>
        <w:jc w:val="center"/>
        <w:rPr>
          <w:rFonts w:asciiTheme="minorHAnsi" w:hAnsiTheme="minorHAnsi" w:cs="Calibri"/>
          <w:sz w:val="18"/>
          <w:szCs w:val="18"/>
        </w:rPr>
      </w:pPr>
    </w:p>
    <w:p w:rsidR="00A053C5" w:rsidRPr="00F063F7" w:rsidRDefault="00A053C5" w:rsidP="00F063F7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F063F7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A053C5" w:rsidRDefault="00AB7723" w:rsidP="00F063F7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F063F7">
        <w:rPr>
          <w:rFonts w:asciiTheme="minorHAnsi" w:hAnsiTheme="minorHAnsi" w:cs="Calibri"/>
          <w:sz w:val="18"/>
          <w:szCs w:val="18"/>
        </w:rPr>
        <w:t>17 февраля</w:t>
      </w:r>
      <w:r w:rsidR="00BF46F9" w:rsidRPr="00F063F7">
        <w:rPr>
          <w:rFonts w:asciiTheme="minorHAnsi" w:hAnsiTheme="minorHAnsi" w:cs="Calibri"/>
          <w:sz w:val="18"/>
          <w:szCs w:val="18"/>
        </w:rPr>
        <w:t xml:space="preserve"> 2011</w:t>
      </w:r>
      <w:r w:rsidR="00A053C5" w:rsidRPr="00F063F7">
        <w:rPr>
          <w:rFonts w:asciiTheme="minorHAnsi" w:hAnsiTheme="minorHAnsi" w:cs="Calibri"/>
          <w:sz w:val="18"/>
          <w:szCs w:val="18"/>
        </w:rPr>
        <w:t xml:space="preserve"> года за № </w:t>
      </w:r>
      <w:r w:rsidR="00BF46F9" w:rsidRPr="00F063F7">
        <w:rPr>
          <w:rFonts w:asciiTheme="minorHAnsi" w:hAnsiTheme="minorHAnsi" w:cs="Calibri"/>
          <w:sz w:val="18"/>
          <w:szCs w:val="18"/>
        </w:rPr>
        <w:t>20</w:t>
      </w:r>
      <w:r w:rsidRPr="00F063F7">
        <w:rPr>
          <w:rFonts w:asciiTheme="minorHAnsi" w:hAnsiTheme="minorHAnsi" w:cs="Calibri"/>
          <w:sz w:val="18"/>
          <w:szCs w:val="18"/>
        </w:rPr>
        <w:t>58</w:t>
      </w:r>
      <w:r w:rsidR="00BF46F9" w:rsidRPr="00F063F7">
        <w:rPr>
          <w:rFonts w:asciiTheme="minorHAnsi" w:hAnsiTheme="minorHAnsi" w:cs="Calibri"/>
          <w:sz w:val="18"/>
          <w:szCs w:val="18"/>
        </w:rPr>
        <w:t>-</w:t>
      </w:r>
      <w:r w:rsidRPr="00F063F7">
        <w:rPr>
          <w:rFonts w:asciiTheme="minorHAnsi" w:hAnsiTheme="minorHAnsi" w:cs="Calibri"/>
          <w:sz w:val="18"/>
          <w:szCs w:val="18"/>
        </w:rPr>
        <w:t>94172687</w:t>
      </w:r>
      <w:r w:rsidR="00A053C5" w:rsidRPr="00F063F7">
        <w:rPr>
          <w:rFonts w:asciiTheme="minorHAnsi" w:hAnsiTheme="minorHAnsi" w:cs="Calibri"/>
          <w:sz w:val="18"/>
          <w:szCs w:val="18"/>
        </w:rPr>
        <w:t>)</w:t>
      </w:r>
    </w:p>
    <w:p w:rsidR="00A206E8" w:rsidRPr="00F063F7" w:rsidRDefault="00A206E8" w:rsidP="00F063F7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</w:p>
    <w:tbl>
      <w:tblPr>
        <w:tblW w:w="5035" w:type="pct"/>
        <w:tblLook w:val="0000"/>
      </w:tblPr>
      <w:tblGrid>
        <w:gridCol w:w="5022"/>
        <w:gridCol w:w="5346"/>
      </w:tblGrid>
      <w:tr w:rsidR="00F063F7" w:rsidRPr="00F063F7" w:rsidTr="00EA0B41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F7" w:rsidRPr="00F063F7" w:rsidRDefault="00F063F7" w:rsidP="00EA0B41">
            <w:pPr>
              <w:pStyle w:val="aa"/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063F7">
              <w:rPr>
                <w:rFonts w:ascii="Calibri" w:hAnsi="Calibr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F7" w:rsidRPr="00F063F7" w:rsidRDefault="00F063F7" w:rsidP="00EA0B41">
            <w:pPr>
              <w:pStyle w:val="aa"/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063F7">
              <w:rPr>
                <w:rFonts w:ascii="Calibri" w:hAnsi="Calibr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F63BCD" w:rsidRPr="00F063F7" w:rsidTr="00EA0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2" w:type="pct"/>
          </w:tcPr>
          <w:p w:rsidR="00F63BCD" w:rsidRPr="00F63BCD" w:rsidRDefault="00F63BCD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F63BCD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F63BCD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F63BCD" w:rsidRPr="00F63BCD" w:rsidRDefault="00F63BCD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F63BCD" w:rsidRPr="00F63BCD" w:rsidRDefault="00F63BCD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74415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63BCD" w:rsidRPr="00F63BCD" w:rsidRDefault="00F63BCD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составляет 1,2 % (одна целая две десятых процента), включая НДС, от расчетной стоимости Инвестиционного пая.</w:t>
            </w:r>
          </w:p>
          <w:p w:rsidR="00F63BCD" w:rsidRPr="00F63BCD" w:rsidRDefault="00F63BCD" w:rsidP="00744155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78" w:type="pct"/>
          </w:tcPr>
          <w:p w:rsidR="00F63BCD" w:rsidRPr="00F63BCD" w:rsidRDefault="00F63BCD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F63BCD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F63BCD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F63BCD" w:rsidRPr="00F63BCD" w:rsidRDefault="00F63BCD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ab/>
              <w:t xml:space="preserve">Управляющей компании </w:t>
            </w:r>
            <w:r w:rsidRPr="00F63BCD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и Агентам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, за исключением агента ЗАО «Банк Интеза»,  составляет 1,2% (одна целая две десятых процента), включая НДС, от расчетной стоимости инвестиционного пая.</w:t>
            </w:r>
          </w:p>
          <w:p w:rsidR="00F63BCD" w:rsidRPr="00F63BCD" w:rsidRDefault="00F63BCD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F63BCD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F63BCD" w:rsidRPr="00F63BCD" w:rsidRDefault="00F63BCD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F63BCD" w:rsidRPr="00F63BCD" w:rsidRDefault="00F63BCD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744155">
            <w:pPr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F63BC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63BCD" w:rsidRPr="00F063F7" w:rsidTr="00EA0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2" w:type="pct"/>
          </w:tcPr>
          <w:p w:rsidR="00F63BCD" w:rsidRPr="00F63BCD" w:rsidRDefault="00F63BCD" w:rsidP="00F63BCD">
            <w:pPr>
              <w:pStyle w:val="ConsNormal"/>
              <w:ind w:right="-159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86.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F63BCD" w:rsidRPr="00F63BCD" w:rsidRDefault="00F63BCD" w:rsidP="00F63BC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 xml:space="preserve">Открытого паевого инвестиционного фонда акций “Тройка </w:t>
            </w: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lastRenderedPageBreak/>
              <w:t xml:space="preserve">Диалог – Телекоммуникации”; 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Тройка Диалог – Фонд денежного рынка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F63BCD">
            <w:pPr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Тройка Диалог – БРИК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Потенциал”;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Инфраструктура”;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78" w:type="pct"/>
          </w:tcPr>
          <w:p w:rsidR="00F63BCD" w:rsidRPr="00F63BCD" w:rsidRDefault="00F63BCD" w:rsidP="00F63BCD">
            <w:pPr>
              <w:pStyle w:val="ConsNormal"/>
              <w:ind w:right="-159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86.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F63BCD" w:rsidRPr="00F63BCD" w:rsidRDefault="00F63BCD" w:rsidP="00F63BC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 xml:space="preserve">Открытого паевого инвестиционного фонда акций “Тройка Диалог </w:t>
            </w: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lastRenderedPageBreak/>
              <w:t xml:space="preserve">– Телекоммуникации”; 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Тройка Диалог – Фонд денежного рынка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F63BCD">
            <w:pPr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Тройка Диалог – БРИК</w:t>
            </w:r>
            <w:r w:rsidRPr="00F63BCD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Потенциал”;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 Фонд активного управления”;</w:t>
            </w:r>
          </w:p>
          <w:p w:rsidR="00F63BCD" w:rsidRPr="00F63BCD" w:rsidRDefault="00F63BCD" w:rsidP="00F63BCD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F63BCD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</w:tr>
      <w:tr w:rsidR="00F63BCD" w:rsidRPr="00F063F7" w:rsidTr="00EA0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2" w:type="pct"/>
          </w:tcPr>
          <w:p w:rsidR="00F63BCD" w:rsidRPr="00F63BCD" w:rsidRDefault="00F63BCD" w:rsidP="00F63BC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F63BCD" w:rsidRPr="00F63BCD" w:rsidRDefault="00F63BCD" w:rsidP="00F63BC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6) расходы, связанные с осуществлением прав, удостоверенных ценными бумагами, составляющими 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имущество Фонда, в частности, почтовые или иные аналогичные расходы по направлению бюллетеней для голосования;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F63BCD" w:rsidRPr="00F63BCD" w:rsidRDefault="00F63BCD" w:rsidP="00F63BC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p_84"/>
            <w:bookmarkEnd w:id="0"/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Максимальный размер расходов, подлежащих оплате за счет имущества, составляющего Фонд, составляет 0,2 (ноль целых две десятых) 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F63BCD" w:rsidRPr="00F63BCD" w:rsidRDefault="00F63BCD" w:rsidP="00EA0B4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78" w:type="pct"/>
          </w:tcPr>
          <w:p w:rsidR="00F63BCD" w:rsidRPr="00F63BCD" w:rsidRDefault="00F63BCD" w:rsidP="00F63BC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F63BCD" w:rsidRPr="00F63BCD" w:rsidRDefault="00F63BCD" w:rsidP="00F63BC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6) расходы, связанные с осуществлением прав, удостоверенных ценными бумагами, составляющими имущество Фонда, в 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частности, почтовые или иные аналогичные расходы по направлению бюллетеней для голосования;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F63BCD" w:rsidRPr="00F63BCD" w:rsidRDefault="00F63BCD" w:rsidP="00F63BC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F63BCD" w:rsidRPr="00F63BCD" w:rsidRDefault="00F63BCD" w:rsidP="00F63BC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F63BCD" w:rsidRPr="00F63BCD" w:rsidRDefault="00F63BCD" w:rsidP="00F63BC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F63BCD">
              <w:rPr>
                <w:rFonts w:asciiTheme="minorHAnsi" w:hAnsiTheme="minorHAnsi" w:cstheme="minorHAnsi"/>
                <w:b/>
                <w:sz w:val="18"/>
                <w:szCs w:val="18"/>
              </w:rPr>
              <w:t>0,5 (ноль целых пять десятых)</w:t>
            </w:r>
            <w:r w:rsidRPr="00F63BCD">
              <w:rPr>
                <w:rFonts w:asciiTheme="minorHAnsi" w:hAnsiTheme="minorHAnsi" w:cstheme="minorHAnsi"/>
                <w:sz w:val="18"/>
                <w:szCs w:val="18"/>
              </w:rPr>
              <w:t xml:space="preserve"> 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F63BCD" w:rsidRPr="00F63BCD" w:rsidRDefault="00F63BCD" w:rsidP="00EA0B4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272082" w:rsidRDefault="0027208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p w:rsidR="006916F0" w:rsidRDefault="006916F0" w:rsidP="006916F0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6916F0" w:rsidRPr="00AD62BF" w:rsidRDefault="006916F0" w:rsidP="006916F0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6916F0" w:rsidRPr="00AD62BF" w:rsidRDefault="006916F0" w:rsidP="006916F0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6916F0" w:rsidRPr="00AD62BF" w:rsidRDefault="006916F0" w:rsidP="006916F0">
      <w:pPr>
        <w:pStyle w:val="fieldcomment"/>
        <w:spacing w:before="0" w:after="0"/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p w:rsidR="006C71D4" w:rsidRPr="00675F25" w:rsidRDefault="00A6524B" w:rsidP="00C34EE7">
      <w:pPr>
        <w:spacing w:line="240" w:lineRule="exact"/>
      </w:pPr>
      <w:r>
        <w:t xml:space="preserve"> </w:t>
      </w: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FC" w:rsidRDefault="001D58FC">
      <w:r>
        <w:separator/>
      </w:r>
    </w:p>
  </w:endnote>
  <w:endnote w:type="continuationSeparator" w:id="0">
    <w:p w:rsidR="001D58FC" w:rsidRDefault="001D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§ЮЎм§Ў?Ўм§А?§Ю???Ўм§А?§ЮЎ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95" w:rsidRPr="00DE5BA5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25610C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F63BCD">
      <w:rPr>
        <w:rStyle w:val="af3"/>
        <w:rFonts w:ascii="Arial" w:hAnsi="Arial" w:cs="Arial"/>
        <w:i/>
        <w:iCs/>
        <w:sz w:val="14"/>
        <w:szCs w:val="14"/>
      </w:rPr>
      <w:t>/3</w:t>
    </w:r>
  </w:p>
  <w:p w:rsidR="008F640A" w:rsidRPr="00AB7723" w:rsidRDefault="008F640A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Pr="00F74123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акций «Тройка Диалог – </w:t>
    </w:r>
    <w:r w:rsidR="00AB7723">
      <w:rPr>
        <w:rFonts w:ascii="Arial" w:hAnsi="Arial" w:cs="Arial"/>
        <w:i/>
        <w:iCs/>
        <w:sz w:val="14"/>
        <w:szCs w:val="14"/>
      </w:rPr>
      <w:t>Компании рынка драгоценных металлов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FC" w:rsidRDefault="001D58FC">
      <w:r>
        <w:separator/>
      </w:r>
    </w:p>
  </w:footnote>
  <w:footnote w:type="continuationSeparator" w:id="0">
    <w:p w:rsidR="001D58FC" w:rsidRDefault="001D5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759BF"/>
    <w:rsid w:val="000A7029"/>
    <w:rsid w:val="000B3355"/>
    <w:rsid w:val="000B75BB"/>
    <w:rsid w:val="000C0A54"/>
    <w:rsid w:val="000E5BDE"/>
    <w:rsid w:val="000F1155"/>
    <w:rsid w:val="000F23FA"/>
    <w:rsid w:val="000F7507"/>
    <w:rsid w:val="00107C95"/>
    <w:rsid w:val="00113AAE"/>
    <w:rsid w:val="001263DE"/>
    <w:rsid w:val="00156485"/>
    <w:rsid w:val="00172771"/>
    <w:rsid w:val="00176C42"/>
    <w:rsid w:val="00177EBA"/>
    <w:rsid w:val="00191234"/>
    <w:rsid w:val="001B5D28"/>
    <w:rsid w:val="001D58FC"/>
    <w:rsid w:val="001E4EF4"/>
    <w:rsid w:val="001F5D59"/>
    <w:rsid w:val="00220B03"/>
    <w:rsid w:val="00237880"/>
    <w:rsid w:val="00240817"/>
    <w:rsid w:val="002452A6"/>
    <w:rsid w:val="0025610C"/>
    <w:rsid w:val="00272082"/>
    <w:rsid w:val="00273691"/>
    <w:rsid w:val="002754F4"/>
    <w:rsid w:val="0029157C"/>
    <w:rsid w:val="00297327"/>
    <w:rsid w:val="002C47D8"/>
    <w:rsid w:val="002D27AF"/>
    <w:rsid w:val="002D36E2"/>
    <w:rsid w:val="002E6C8B"/>
    <w:rsid w:val="003038E9"/>
    <w:rsid w:val="003147B0"/>
    <w:rsid w:val="00316524"/>
    <w:rsid w:val="003200C5"/>
    <w:rsid w:val="00352312"/>
    <w:rsid w:val="003711A7"/>
    <w:rsid w:val="0039284E"/>
    <w:rsid w:val="003D6C44"/>
    <w:rsid w:val="003E2B7D"/>
    <w:rsid w:val="003F10E3"/>
    <w:rsid w:val="00412C2D"/>
    <w:rsid w:val="004424DF"/>
    <w:rsid w:val="00462C43"/>
    <w:rsid w:val="00477BEB"/>
    <w:rsid w:val="00482F83"/>
    <w:rsid w:val="004904B4"/>
    <w:rsid w:val="00491CCE"/>
    <w:rsid w:val="004977F9"/>
    <w:rsid w:val="004B7B50"/>
    <w:rsid w:val="00505661"/>
    <w:rsid w:val="00531DE9"/>
    <w:rsid w:val="005332B8"/>
    <w:rsid w:val="00540B97"/>
    <w:rsid w:val="00542544"/>
    <w:rsid w:val="00565616"/>
    <w:rsid w:val="00571BE0"/>
    <w:rsid w:val="00576DF2"/>
    <w:rsid w:val="00582A93"/>
    <w:rsid w:val="00582E64"/>
    <w:rsid w:val="00591B11"/>
    <w:rsid w:val="005A5521"/>
    <w:rsid w:val="005A70F4"/>
    <w:rsid w:val="005B2C57"/>
    <w:rsid w:val="005B4452"/>
    <w:rsid w:val="005C7005"/>
    <w:rsid w:val="005D092F"/>
    <w:rsid w:val="005D6F04"/>
    <w:rsid w:val="005E10F4"/>
    <w:rsid w:val="005E47F5"/>
    <w:rsid w:val="005F7B99"/>
    <w:rsid w:val="00612A33"/>
    <w:rsid w:val="006207A3"/>
    <w:rsid w:val="006222B2"/>
    <w:rsid w:val="00623502"/>
    <w:rsid w:val="00624D38"/>
    <w:rsid w:val="0062506B"/>
    <w:rsid w:val="00636C0F"/>
    <w:rsid w:val="00651C01"/>
    <w:rsid w:val="0066335E"/>
    <w:rsid w:val="00673C79"/>
    <w:rsid w:val="00675F25"/>
    <w:rsid w:val="006916F0"/>
    <w:rsid w:val="006A0127"/>
    <w:rsid w:val="006A5496"/>
    <w:rsid w:val="006A6D03"/>
    <w:rsid w:val="006C51E0"/>
    <w:rsid w:val="006C71D4"/>
    <w:rsid w:val="006E5A4C"/>
    <w:rsid w:val="00707BB4"/>
    <w:rsid w:val="00707C8E"/>
    <w:rsid w:val="0072562A"/>
    <w:rsid w:val="00734C93"/>
    <w:rsid w:val="00744155"/>
    <w:rsid w:val="00753E30"/>
    <w:rsid w:val="00762C34"/>
    <w:rsid w:val="00765126"/>
    <w:rsid w:val="007675DF"/>
    <w:rsid w:val="007907BD"/>
    <w:rsid w:val="007C06AB"/>
    <w:rsid w:val="007C57AA"/>
    <w:rsid w:val="007C7710"/>
    <w:rsid w:val="00813367"/>
    <w:rsid w:val="00814BF3"/>
    <w:rsid w:val="00851C25"/>
    <w:rsid w:val="00857C91"/>
    <w:rsid w:val="008814DF"/>
    <w:rsid w:val="00893B0B"/>
    <w:rsid w:val="008A7741"/>
    <w:rsid w:val="008D6A80"/>
    <w:rsid w:val="008E7CF8"/>
    <w:rsid w:val="008F1F66"/>
    <w:rsid w:val="008F2AF3"/>
    <w:rsid w:val="008F640A"/>
    <w:rsid w:val="00902057"/>
    <w:rsid w:val="009107F4"/>
    <w:rsid w:val="00937F66"/>
    <w:rsid w:val="00940642"/>
    <w:rsid w:val="00941281"/>
    <w:rsid w:val="0094409D"/>
    <w:rsid w:val="009449FC"/>
    <w:rsid w:val="00946F8C"/>
    <w:rsid w:val="00951B67"/>
    <w:rsid w:val="00963492"/>
    <w:rsid w:val="00967D6F"/>
    <w:rsid w:val="00985F52"/>
    <w:rsid w:val="009A3416"/>
    <w:rsid w:val="009C23DA"/>
    <w:rsid w:val="009C6B3E"/>
    <w:rsid w:val="009D575E"/>
    <w:rsid w:val="009F7C16"/>
    <w:rsid w:val="00A033BE"/>
    <w:rsid w:val="00A053C5"/>
    <w:rsid w:val="00A206E8"/>
    <w:rsid w:val="00A265C3"/>
    <w:rsid w:val="00A6524B"/>
    <w:rsid w:val="00A90B49"/>
    <w:rsid w:val="00A97EC2"/>
    <w:rsid w:val="00AA7E8F"/>
    <w:rsid w:val="00AB7723"/>
    <w:rsid w:val="00AD356F"/>
    <w:rsid w:val="00AD62BF"/>
    <w:rsid w:val="00B02C5C"/>
    <w:rsid w:val="00B05DAE"/>
    <w:rsid w:val="00B169A1"/>
    <w:rsid w:val="00B44033"/>
    <w:rsid w:val="00B648E9"/>
    <w:rsid w:val="00B757EE"/>
    <w:rsid w:val="00B82E95"/>
    <w:rsid w:val="00B85D86"/>
    <w:rsid w:val="00BA4097"/>
    <w:rsid w:val="00BA6CA3"/>
    <w:rsid w:val="00BA74D1"/>
    <w:rsid w:val="00BC0138"/>
    <w:rsid w:val="00BC53DE"/>
    <w:rsid w:val="00BD4DBE"/>
    <w:rsid w:val="00BE480F"/>
    <w:rsid w:val="00BF46F9"/>
    <w:rsid w:val="00C11C8A"/>
    <w:rsid w:val="00C21978"/>
    <w:rsid w:val="00C25F88"/>
    <w:rsid w:val="00C33864"/>
    <w:rsid w:val="00C34EE7"/>
    <w:rsid w:val="00C41B47"/>
    <w:rsid w:val="00C440B1"/>
    <w:rsid w:val="00C466BF"/>
    <w:rsid w:val="00C479B0"/>
    <w:rsid w:val="00C654CA"/>
    <w:rsid w:val="00CC30B0"/>
    <w:rsid w:val="00CD6A90"/>
    <w:rsid w:val="00CF320A"/>
    <w:rsid w:val="00CF51C4"/>
    <w:rsid w:val="00CF76B2"/>
    <w:rsid w:val="00D132FD"/>
    <w:rsid w:val="00D2133A"/>
    <w:rsid w:val="00D238EE"/>
    <w:rsid w:val="00D318A9"/>
    <w:rsid w:val="00D33012"/>
    <w:rsid w:val="00D33616"/>
    <w:rsid w:val="00D40497"/>
    <w:rsid w:val="00D412D9"/>
    <w:rsid w:val="00D4183E"/>
    <w:rsid w:val="00D441B6"/>
    <w:rsid w:val="00D47F51"/>
    <w:rsid w:val="00D50514"/>
    <w:rsid w:val="00D5707F"/>
    <w:rsid w:val="00D6324D"/>
    <w:rsid w:val="00D665AC"/>
    <w:rsid w:val="00D7174B"/>
    <w:rsid w:val="00D85D32"/>
    <w:rsid w:val="00DB634A"/>
    <w:rsid w:val="00DC0461"/>
    <w:rsid w:val="00DC23F6"/>
    <w:rsid w:val="00DC4057"/>
    <w:rsid w:val="00DE51A5"/>
    <w:rsid w:val="00DE5BA5"/>
    <w:rsid w:val="00DF3D2E"/>
    <w:rsid w:val="00DF6B36"/>
    <w:rsid w:val="00E05F2C"/>
    <w:rsid w:val="00E328F7"/>
    <w:rsid w:val="00E42635"/>
    <w:rsid w:val="00E66A5D"/>
    <w:rsid w:val="00E839A4"/>
    <w:rsid w:val="00EA0B41"/>
    <w:rsid w:val="00EE51BA"/>
    <w:rsid w:val="00EE5686"/>
    <w:rsid w:val="00EF71AF"/>
    <w:rsid w:val="00F063F7"/>
    <w:rsid w:val="00F10742"/>
    <w:rsid w:val="00F34072"/>
    <w:rsid w:val="00F52475"/>
    <w:rsid w:val="00F61FC4"/>
    <w:rsid w:val="00F63BCD"/>
    <w:rsid w:val="00F676C4"/>
    <w:rsid w:val="00F72805"/>
    <w:rsid w:val="00F74123"/>
    <w:rsid w:val="00F951E8"/>
    <w:rsid w:val="00FC240D"/>
    <w:rsid w:val="00FD46E9"/>
    <w:rsid w:val="00FE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004_частично 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CF6FBD13-2E85-4711-B8E2-3FF367770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9D7110-9DEA-411C-9084-7091A482F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D88F7-C4AF-498C-A763-6E27EA9723E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1535</Words>
  <Characters>11193</Characters>
  <Application>Microsoft Office Word</Application>
  <DocSecurity>0</DocSecurity>
  <Lines>93</Lines>
  <Paragraphs>25</Paragraphs>
  <ScaleCrop>false</ScaleCrop>
  <Company>3D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2011-10-11T09:38:00Z</cp:lastPrinted>
  <dcterms:created xsi:type="dcterms:W3CDTF">2012-11-02T11:03:00Z</dcterms:created>
  <dcterms:modified xsi:type="dcterms:W3CDTF">2012-11-02T11:03:00Z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