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BF" w:rsidRPr="00C51128" w:rsidRDefault="00254ABF" w:rsidP="00256643">
      <w:pPr>
        <w:pStyle w:val="24"/>
        <w:spacing w:line="240" w:lineRule="exact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256643">
        <w:rPr>
          <w:rFonts w:asciiTheme="minorHAnsi" w:hAnsiTheme="minorHAnsi" w:cs="Calibri"/>
          <w:b/>
          <w:bCs/>
          <w:sz w:val="18"/>
          <w:szCs w:val="18"/>
        </w:rPr>
        <w:t>ИЗМЕНЕНИЯ И ДОПОЛНЕНИЯ</w:t>
      </w:r>
      <w:r w:rsidR="00256643" w:rsidRPr="00256643">
        <w:rPr>
          <w:rFonts w:asciiTheme="minorHAnsi" w:hAnsiTheme="minorHAnsi" w:cs="Calibri"/>
          <w:b/>
          <w:bCs/>
          <w:sz w:val="18"/>
          <w:szCs w:val="18"/>
        </w:rPr>
        <w:t xml:space="preserve"> №1</w:t>
      </w:r>
      <w:r w:rsidR="003A364F">
        <w:rPr>
          <w:rFonts w:asciiTheme="minorHAnsi" w:hAnsiTheme="minorHAnsi" w:cs="Calibri"/>
          <w:b/>
          <w:bCs/>
          <w:sz w:val="18"/>
          <w:szCs w:val="18"/>
        </w:rPr>
        <w:t>8</w:t>
      </w:r>
    </w:p>
    <w:p w:rsidR="00254ABF" w:rsidRPr="00256643" w:rsidRDefault="00254ABF" w:rsidP="00256643">
      <w:pPr>
        <w:pStyle w:val="24"/>
        <w:spacing w:line="240" w:lineRule="exact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256643">
        <w:rPr>
          <w:rFonts w:asciiTheme="minorHAnsi" w:hAnsiTheme="minorHAnsi" w:cs="Calibri"/>
          <w:b/>
          <w:bCs/>
          <w:sz w:val="18"/>
          <w:szCs w:val="18"/>
        </w:rPr>
        <w:t>В ПРАВИЛА ДОВЕРИТЕЛЬНОГО УПРАВЛЕНИЯ</w:t>
      </w:r>
    </w:p>
    <w:p w:rsidR="00254ABF" w:rsidRPr="00256643" w:rsidRDefault="00254ABF" w:rsidP="00256643">
      <w:pPr>
        <w:pStyle w:val="24"/>
        <w:spacing w:line="240" w:lineRule="exact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256643">
        <w:rPr>
          <w:rFonts w:asciiTheme="minorHAnsi" w:hAnsiTheme="minorHAnsi" w:cs="Calibri"/>
          <w:b/>
          <w:bCs/>
          <w:sz w:val="18"/>
          <w:szCs w:val="18"/>
        </w:rPr>
        <w:t>ОТКРЫТЫМ ПАЕВЫМ ИНВЕСТИЦИОННЫМ ФОНДОМ АКЦИЙ</w:t>
      </w:r>
    </w:p>
    <w:p w:rsidR="00254ABF" w:rsidRPr="00256643" w:rsidRDefault="00254ABF" w:rsidP="00256643">
      <w:pPr>
        <w:pStyle w:val="24"/>
        <w:spacing w:line="240" w:lineRule="exact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256643">
        <w:rPr>
          <w:rFonts w:asciiTheme="minorHAnsi" w:hAnsiTheme="minorHAnsi" w:cs="Calibri"/>
          <w:b/>
          <w:bCs/>
          <w:sz w:val="18"/>
          <w:szCs w:val="18"/>
        </w:rPr>
        <w:t xml:space="preserve">«ТРОЙКА ДИАЛОГ – </w:t>
      </w:r>
      <w:r w:rsidR="00260A8F" w:rsidRPr="00256643">
        <w:rPr>
          <w:rFonts w:asciiTheme="minorHAnsi" w:hAnsiTheme="minorHAnsi" w:cs="Calibri"/>
          <w:b/>
          <w:bCs/>
          <w:sz w:val="18"/>
          <w:szCs w:val="18"/>
        </w:rPr>
        <w:t>ПОТЕНЦИАЛ</w:t>
      </w:r>
      <w:r w:rsidRPr="00256643">
        <w:rPr>
          <w:rFonts w:asciiTheme="minorHAnsi" w:hAnsiTheme="minorHAnsi" w:cs="Calibri"/>
          <w:b/>
          <w:bCs/>
          <w:sz w:val="18"/>
          <w:szCs w:val="18"/>
        </w:rPr>
        <w:t>»</w:t>
      </w:r>
    </w:p>
    <w:p w:rsidR="00446638" w:rsidRPr="00256643" w:rsidRDefault="00446638" w:rsidP="00256643">
      <w:pPr>
        <w:spacing w:after="120" w:line="240" w:lineRule="exact"/>
        <w:jc w:val="center"/>
        <w:rPr>
          <w:rFonts w:asciiTheme="minorHAnsi" w:hAnsiTheme="minorHAnsi" w:cs="Calibri"/>
          <w:sz w:val="18"/>
          <w:szCs w:val="18"/>
        </w:rPr>
      </w:pPr>
      <w:r w:rsidRPr="00256643">
        <w:rPr>
          <w:rFonts w:asciiTheme="minorHAnsi" w:hAnsiTheme="minorHAnsi" w:cs="Calibri"/>
          <w:sz w:val="18"/>
          <w:szCs w:val="18"/>
        </w:rPr>
        <w:t>(Правила доверительного управления фондом зарегистрированы</w:t>
      </w:r>
    </w:p>
    <w:p w:rsidR="0049031D" w:rsidRPr="0049031D" w:rsidRDefault="00446638" w:rsidP="00C51128">
      <w:pPr>
        <w:spacing w:after="120" w:line="240" w:lineRule="exact"/>
        <w:jc w:val="center"/>
        <w:rPr>
          <w:rFonts w:ascii="Arial" w:hAnsi="Arial" w:cs="Arial"/>
          <w:bCs/>
          <w:sz w:val="18"/>
          <w:szCs w:val="18"/>
        </w:rPr>
      </w:pPr>
      <w:r w:rsidRPr="00256643">
        <w:rPr>
          <w:rFonts w:asciiTheme="minorHAnsi" w:hAnsiTheme="minorHAnsi" w:cs="Calibri"/>
          <w:sz w:val="18"/>
          <w:szCs w:val="18"/>
        </w:rPr>
        <w:t>2 марта 2005 года за № 0328-76077318)</w:t>
      </w:r>
    </w:p>
    <w:tbl>
      <w:tblPr>
        <w:tblW w:w="5095" w:type="pct"/>
        <w:tblInd w:w="-318" w:type="dxa"/>
        <w:tblLook w:val="0000"/>
      </w:tblPr>
      <w:tblGrid>
        <w:gridCol w:w="5108"/>
        <w:gridCol w:w="5384"/>
      </w:tblGrid>
      <w:tr w:rsidR="00256643" w:rsidRPr="005B4452" w:rsidTr="00C51128"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43" w:rsidRPr="003A364F" w:rsidRDefault="00256643" w:rsidP="003A364F">
            <w:pPr>
              <w:pStyle w:val="aa"/>
              <w:spacing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36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СТАРАЯ РЕДАКЦИЯ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43" w:rsidRPr="003A364F" w:rsidRDefault="00256643" w:rsidP="003A364F">
            <w:pPr>
              <w:pStyle w:val="aa"/>
              <w:spacing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36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НОВАЯ РЕДАКЦИЯ</w:t>
            </w:r>
          </w:p>
        </w:tc>
      </w:tr>
      <w:tr w:rsidR="00256643" w:rsidRPr="005B4452" w:rsidTr="00C51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4" w:type="pct"/>
          </w:tcPr>
          <w:p w:rsidR="003A364F" w:rsidRPr="003A364F" w:rsidRDefault="003A364F" w:rsidP="003A364F">
            <w:pPr>
              <w:pStyle w:val="ConsNonformat"/>
              <w:widowControl/>
              <w:spacing w:after="120" w:line="240" w:lineRule="exact"/>
              <w:ind w:firstLine="709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3A364F">
              <w:rPr>
                <w:rStyle w:val="a9"/>
                <w:rFonts w:asciiTheme="minorHAnsi" w:hAnsiTheme="minorHAnsi" w:cstheme="minorHAnsi"/>
                <w:b/>
                <w:sz w:val="18"/>
                <w:szCs w:val="18"/>
              </w:rPr>
              <w:t>64.</w:t>
            </w:r>
            <w:r w:rsidRPr="003A364F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После завершения (окончания) формирования Фонда </w:t>
            </w:r>
            <w:r w:rsidRPr="003A364F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надбавка, на которую увеличивается расчетная стоимость Инвестиционного пая,</w:t>
            </w:r>
            <w:r w:rsidRPr="003A364F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при </w:t>
            </w:r>
            <w:r w:rsidRPr="003A364F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 xml:space="preserve">подаче заявки на </w:t>
            </w:r>
            <w:r w:rsidRPr="003A364F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приобретение Инвестиционных паев:</w:t>
            </w:r>
          </w:p>
          <w:p w:rsidR="003A364F" w:rsidRPr="003A364F" w:rsidRDefault="003A364F" w:rsidP="003A364F">
            <w:pPr>
              <w:pStyle w:val="ConsNonformat"/>
              <w:widowControl/>
              <w:spacing w:after="120" w:line="240" w:lineRule="exact"/>
              <w:ind w:right="72"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3A364F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агенту </w:t>
            </w:r>
            <w:r w:rsidRPr="003A364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Закрытому акционерному обществу «Банк Интеза»</w:t>
            </w:r>
            <w:r w:rsidRPr="003A364F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составляет:</w:t>
            </w:r>
          </w:p>
          <w:p w:rsidR="003A364F" w:rsidRPr="003A364F" w:rsidRDefault="003A364F" w:rsidP="003A364F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364F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до 1 000 000 (один миллион) рублей: 1,5% (одна целая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3A364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3A364F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3A364F" w:rsidRPr="003A364F" w:rsidRDefault="003A364F" w:rsidP="003A364F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364F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1 000 000 (один миллион) рублей включительно до 5 000 000 (пяти миллионов) рублей: 1% (один процент), включая НДС, от расчетной стоимости Инвестиционного пая, при его приобретении по заявке, поданной агенту </w:t>
            </w:r>
            <w:r w:rsidRPr="003A364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3A364F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3A364F" w:rsidRPr="003A364F" w:rsidRDefault="003A364F" w:rsidP="003A364F">
            <w:pPr>
              <w:autoSpaceDE w:val="0"/>
              <w:autoSpaceDN w:val="0"/>
              <w:adjustRightInd w:val="0"/>
              <w:spacing w:after="120"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3A364F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5 000 000 (пять миллионов) рублей включительно и выше: 0.5% (ноль целых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3A364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Закрытому акционерному обществу «Банк Интеза»</w:t>
            </w:r>
            <w:r w:rsidRPr="003A364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3A364F" w:rsidRPr="003A364F" w:rsidRDefault="003A364F" w:rsidP="003A364F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3A364F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Управляющей компании и агенту О</w:t>
            </w:r>
            <w:r w:rsidRPr="003A364F">
              <w:rPr>
                <w:rFonts w:asciiTheme="minorHAnsi" w:hAnsiTheme="minorHAnsi" w:cstheme="minorHAnsi"/>
                <w:sz w:val="18"/>
                <w:szCs w:val="18"/>
              </w:rPr>
              <w:t>ткрытое акционерное общество «Сбербанк России»</w:t>
            </w:r>
            <w:r w:rsidRPr="003A364F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A364F">
              <w:rPr>
                <w:rFonts w:asciiTheme="minorHAnsi" w:hAnsiTheme="minorHAnsi" w:cstheme="minorHAnsi"/>
                <w:sz w:val="18"/>
                <w:szCs w:val="18"/>
              </w:rPr>
              <w:t>составляет 1,2 % (одна целая две десятых процента), включая НДС, от расчетной стоимости Инвестиционного пая.</w:t>
            </w:r>
          </w:p>
          <w:p w:rsidR="00256643" w:rsidRPr="003A364F" w:rsidRDefault="00256643" w:rsidP="003A364F">
            <w:pPr>
              <w:pStyle w:val="ConsNormal"/>
              <w:spacing w:after="120" w:line="240" w:lineRule="exac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66" w:type="pct"/>
          </w:tcPr>
          <w:p w:rsidR="003A364F" w:rsidRPr="003A364F" w:rsidRDefault="003A364F" w:rsidP="003A364F">
            <w:pPr>
              <w:pStyle w:val="ConsNonformat"/>
              <w:widowControl/>
              <w:spacing w:after="120" w:line="240" w:lineRule="exact"/>
              <w:ind w:firstLine="709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3A364F">
              <w:rPr>
                <w:rStyle w:val="a9"/>
                <w:rFonts w:asciiTheme="minorHAnsi" w:hAnsiTheme="minorHAnsi" w:cstheme="minorHAnsi"/>
                <w:b/>
                <w:sz w:val="18"/>
                <w:szCs w:val="18"/>
              </w:rPr>
              <w:t>64.</w:t>
            </w:r>
            <w:r w:rsidRPr="003A364F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После завершения (окончания) формирования Фонда </w:t>
            </w:r>
            <w:r w:rsidRPr="003A364F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надбавка, на которую увеличивается расчетная стоимость Инвестиционного пая,</w:t>
            </w:r>
            <w:r w:rsidRPr="003A364F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при </w:t>
            </w:r>
            <w:r w:rsidRPr="003A364F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 xml:space="preserve">подаче заявки на </w:t>
            </w:r>
            <w:r w:rsidRPr="003A364F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приобретение Инвестиционных паев:</w:t>
            </w:r>
          </w:p>
          <w:p w:rsidR="003A364F" w:rsidRPr="003A364F" w:rsidRDefault="003A364F" w:rsidP="003A364F">
            <w:pPr>
              <w:pStyle w:val="ConsNonformat"/>
              <w:widowControl/>
              <w:spacing w:after="120" w:line="240" w:lineRule="exact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3A364F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Управляющей компании и Агентам, за исключением агента ЗАО «Банк Интеза»,  составляет 1,2% (одна целая две десятых процента), включая НДС, от расчетной стоимости инвестиционного пая.</w:t>
            </w:r>
          </w:p>
          <w:p w:rsidR="003A364F" w:rsidRPr="003A364F" w:rsidRDefault="003A364F" w:rsidP="003A364F">
            <w:pPr>
              <w:pStyle w:val="ConsNonformat"/>
              <w:widowControl/>
              <w:spacing w:after="120" w:line="240" w:lineRule="exact"/>
              <w:jc w:val="both"/>
              <w:rPr>
                <w:rStyle w:val="a9"/>
                <w:rFonts w:asciiTheme="minorHAnsi" w:hAnsiTheme="minorHAnsi" w:cstheme="minorHAnsi"/>
                <w:b/>
                <w:sz w:val="18"/>
                <w:szCs w:val="18"/>
              </w:rPr>
            </w:pPr>
            <w:r w:rsidRPr="003A364F">
              <w:rPr>
                <w:rStyle w:val="a9"/>
                <w:rFonts w:asciiTheme="minorHAnsi" w:hAnsiTheme="minorHAnsi" w:cstheme="minorHAnsi"/>
                <w:b/>
                <w:sz w:val="18"/>
                <w:szCs w:val="18"/>
              </w:rPr>
              <w:t>При подаче заявки на приобретение инвестиционных паев Управляющей компании номинальным держателем, надбавка не взимается.</w:t>
            </w:r>
          </w:p>
          <w:p w:rsidR="003A364F" w:rsidRPr="003A364F" w:rsidRDefault="003A364F" w:rsidP="003A364F">
            <w:pPr>
              <w:pStyle w:val="ConsNonformat"/>
              <w:widowControl/>
              <w:spacing w:after="120" w:line="240" w:lineRule="exact"/>
              <w:ind w:right="72"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3A364F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агенту </w:t>
            </w:r>
            <w:r w:rsidRPr="003A364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Закрытому акционерному обществу «Банк Интеза»</w:t>
            </w:r>
            <w:r w:rsidRPr="003A364F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составляет:</w:t>
            </w:r>
          </w:p>
          <w:p w:rsidR="003A364F" w:rsidRPr="003A364F" w:rsidRDefault="003A364F" w:rsidP="003A364F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364F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до 1 000 000 (один миллион) рублей: 1,5% (одна целая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3A364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3A364F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3A364F" w:rsidRPr="003A364F" w:rsidRDefault="003A364F" w:rsidP="003A364F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364F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1 000 000 (один миллион) рублей включительно до 5 000 000 (пяти миллионов) рублей: 1% (один процент), включая НДС, от расчетной стоимости Инвестиционного пая, при его приобретении по заявке, поданной агенту </w:t>
            </w:r>
            <w:r w:rsidRPr="003A364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3A364F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3A364F" w:rsidRPr="003A364F" w:rsidRDefault="003A364F" w:rsidP="003A364F">
            <w:pPr>
              <w:autoSpaceDE w:val="0"/>
              <w:autoSpaceDN w:val="0"/>
              <w:adjustRightInd w:val="0"/>
              <w:spacing w:after="120"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3A364F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5 000 000 (пять миллионов) рублей включительно и выше: 0.5% (ноль целых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3A364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Закрытому акционерному обществу «Банк Интеза»</w:t>
            </w:r>
            <w:r w:rsidRPr="003A364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256643" w:rsidRPr="003A364F" w:rsidRDefault="00256643" w:rsidP="003A364F">
            <w:pPr>
              <w:pStyle w:val="ConsNormal"/>
              <w:spacing w:after="120" w:line="240" w:lineRule="exac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256643" w:rsidRPr="00345B85" w:rsidTr="00C51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4" w:type="pct"/>
          </w:tcPr>
          <w:p w:rsidR="003A364F" w:rsidRPr="003A364F" w:rsidRDefault="003A364F" w:rsidP="003A364F">
            <w:pPr>
              <w:pStyle w:val="ConsNormal"/>
              <w:spacing w:after="120" w:line="240" w:lineRule="exact"/>
              <w:ind w:right="-1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364F">
              <w:rPr>
                <w:rFonts w:asciiTheme="minorHAnsi" w:hAnsiTheme="minorHAnsi" w:cstheme="minorHAnsi"/>
                <w:bCs/>
                <w:sz w:val="18"/>
                <w:szCs w:val="18"/>
              </w:rPr>
              <w:t>83.</w:t>
            </w:r>
            <w:r w:rsidRPr="003A364F">
              <w:rPr>
                <w:rFonts w:asciiTheme="minorHAnsi" w:hAnsiTheme="minorHAnsi" w:cstheme="minorHAnsi"/>
                <w:sz w:val="18"/>
                <w:szCs w:val="18"/>
              </w:rPr>
              <w:t> Инвестиционные паи могут обмениваться на инвестиционные паи:</w:t>
            </w:r>
          </w:p>
          <w:p w:rsidR="003A364F" w:rsidRPr="003A364F" w:rsidRDefault="003A364F" w:rsidP="003A364F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3A364F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облигаций “Тройка Диалог - Илья Муромец”;</w:t>
            </w:r>
          </w:p>
          <w:p w:rsidR="003A364F" w:rsidRPr="003A364F" w:rsidRDefault="003A364F" w:rsidP="003A364F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3A364F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акций “Тройка Диалог – Добрыня Никитич”;</w:t>
            </w:r>
          </w:p>
          <w:p w:rsidR="003A364F" w:rsidRPr="003A364F" w:rsidRDefault="003A364F" w:rsidP="003A364F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3A364F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смешанных инвестиций “Тройка Диалог - Дружина";</w:t>
            </w:r>
          </w:p>
          <w:p w:rsidR="003A364F" w:rsidRPr="003A364F" w:rsidRDefault="003A364F" w:rsidP="003A364F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3A364F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«Тройка Диалог – Фонд денежного рынка»;</w:t>
            </w:r>
          </w:p>
          <w:p w:rsidR="003A364F" w:rsidRPr="003A364F" w:rsidRDefault="003A364F" w:rsidP="003A364F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</w:rPr>
            </w:pPr>
            <w:r w:rsidRPr="003A364F">
              <w:rPr>
                <w:rFonts w:asciiTheme="minorHAnsi" w:hAnsiTheme="minorHAnsi" w:cstheme="minorHAnsi"/>
                <w:b w:val="0"/>
                <w:bCs w:val="0"/>
              </w:rPr>
              <w:t>Открытого паевого инвестиционного фонда акций “Тройка Диалог – Нефтегазовый сектор”;</w:t>
            </w:r>
          </w:p>
          <w:p w:rsidR="003A364F" w:rsidRPr="003A364F" w:rsidRDefault="003A364F" w:rsidP="003A364F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</w:rPr>
            </w:pPr>
            <w:r w:rsidRPr="003A364F">
              <w:rPr>
                <w:rFonts w:asciiTheme="minorHAnsi" w:hAnsiTheme="minorHAnsi" w:cstheme="minorHAnsi"/>
                <w:b w:val="0"/>
                <w:bCs w:val="0"/>
              </w:rPr>
              <w:t>Открытого паевого инвестиционного фонда акций “Тройка Диалог – Финансовый сектор”;</w:t>
            </w:r>
          </w:p>
          <w:p w:rsidR="003A364F" w:rsidRPr="003A364F" w:rsidRDefault="003A364F" w:rsidP="003A364F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</w:rPr>
            </w:pPr>
            <w:r w:rsidRPr="003A364F">
              <w:rPr>
                <w:rFonts w:asciiTheme="minorHAnsi" w:hAnsiTheme="minorHAnsi" w:cstheme="minorHAnsi"/>
                <w:b w:val="0"/>
                <w:bCs w:val="0"/>
              </w:rPr>
              <w:t>Открытого паевого инвестиционного фонда акций “Тройка Диалог – Федеральный”;</w:t>
            </w:r>
          </w:p>
          <w:p w:rsidR="003A364F" w:rsidRPr="003A364F" w:rsidRDefault="003A364F" w:rsidP="003A364F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</w:rPr>
            </w:pPr>
            <w:r w:rsidRPr="003A364F">
              <w:rPr>
                <w:rFonts w:asciiTheme="minorHAnsi" w:hAnsiTheme="minorHAnsi" w:cstheme="minorHAnsi"/>
                <w:b w:val="0"/>
                <w:bCs w:val="0"/>
              </w:rPr>
              <w:lastRenderedPageBreak/>
              <w:t>Открытого паевого инвестиционного фонда акций “Тройка Диалог – Телекоммуникации”;</w:t>
            </w:r>
          </w:p>
          <w:p w:rsidR="003A364F" w:rsidRPr="003A364F" w:rsidRDefault="003A364F" w:rsidP="003A364F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</w:rPr>
            </w:pPr>
            <w:r w:rsidRPr="003A364F">
              <w:rPr>
                <w:rFonts w:asciiTheme="minorHAnsi" w:hAnsiTheme="minorHAnsi" w:cstheme="minorHAnsi"/>
                <w:b w:val="0"/>
                <w:bCs w:val="0"/>
              </w:rPr>
              <w:t>Открытого паевого инвестиционного фонда акций “Тройка Диалог – Металлургия”;</w:t>
            </w:r>
          </w:p>
          <w:p w:rsidR="003A364F" w:rsidRPr="003A364F" w:rsidRDefault="003A364F" w:rsidP="003A364F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</w:rPr>
            </w:pPr>
            <w:r w:rsidRPr="003A364F">
              <w:rPr>
                <w:rFonts w:asciiTheme="minorHAnsi" w:hAnsiTheme="minorHAnsi" w:cstheme="minorHAnsi"/>
                <w:b w:val="0"/>
                <w:bCs w:val="0"/>
              </w:rPr>
              <w:t>Открытого паевого инвестиционного фонда акций “Тройка Диалог – Потребительский сектор”;</w:t>
            </w:r>
          </w:p>
          <w:p w:rsidR="003A364F" w:rsidRPr="003A364F" w:rsidRDefault="003A364F" w:rsidP="003A364F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</w:rPr>
            </w:pPr>
            <w:r w:rsidRPr="003A364F">
              <w:rPr>
                <w:rFonts w:asciiTheme="minorHAnsi" w:hAnsiTheme="minorHAnsi" w:cstheme="minorHAnsi"/>
                <w:b w:val="0"/>
                <w:bCs w:val="0"/>
              </w:rPr>
              <w:t>Открытого паевого инвестиционного фонда акций «Тройка Диалог - Электроэнергетика»;</w:t>
            </w:r>
          </w:p>
          <w:p w:rsidR="003A364F" w:rsidRPr="003A364F" w:rsidRDefault="003A364F" w:rsidP="003A364F">
            <w:pPr>
              <w:spacing w:after="120" w:line="240" w:lineRule="exact"/>
              <w:ind w:right="69"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3A364F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смешанных инвестиций «Тройка Диалог – БРИК»;</w:t>
            </w:r>
          </w:p>
          <w:p w:rsidR="003A364F" w:rsidRPr="003A364F" w:rsidRDefault="003A364F" w:rsidP="003A364F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3A364F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облигаций “Тройка Диалог – Рискованные облигации”;</w:t>
            </w:r>
          </w:p>
          <w:p w:rsidR="003A364F" w:rsidRPr="003A364F" w:rsidRDefault="003A364F" w:rsidP="003A364F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</w:rPr>
            </w:pPr>
            <w:r w:rsidRPr="003A364F">
              <w:rPr>
                <w:rFonts w:asciiTheme="minorHAnsi" w:hAnsiTheme="minorHAnsi" w:cstheme="minorHAnsi"/>
                <w:b w:val="0"/>
                <w:bCs w:val="0"/>
              </w:rPr>
              <w:t>Открытого паевого инвестиционного фонда акций “Тройка Диалог – Инфраструктура”;</w:t>
            </w:r>
          </w:p>
          <w:p w:rsidR="003A364F" w:rsidRPr="003A364F" w:rsidRDefault="003A364F" w:rsidP="003A364F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</w:rPr>
            </w:pPr>
            <w:r w:rsidRPr="003A364F">
              <w:rPr>
                <w:rFonts w:asciiTheme="minorHAnsi" w:hAnsiTheme="minorHAnsi" w:cstheme="minorHAnsi"/>
                <w:b w:val="0"/>
                <w:bCs w:val="0"/>
              </w:rPr>
              <w:t>Открытого паевого инвестиционного фонда акций “Тройка Диалог – Компании рынка драгоценных металлов”;</w:t>
            </w:r>
          </w:p>
          <w:p w:rsidR="003A364F" w:rsidRPr="003A364F" w:rsidRDefault="003A364F" w:rsidP="003A364F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</w:rPr>
            </w:pPr>
            <w:r w:rsidRPr="003A364F">
              <w:rPr>
                <w:rFonts w:asciiTheme="minorHAnsi" w:hAnsiTheme="minorHAnsi" w:cstheme="minorHAnsi"/>
                <w:b w:val="0"/>
                <w:bCs w:val="0"/>
              </w:rPr>
              <w:t>Открытого паевого инвестиционного фонда акций “Тройка Диалог – Агросектор”;</w:t>
            </w:r>
          </w:p>
          <w:p w:rsidR="003A364F" w:rsidRPr="003A364F" w:rsidRDefault="003A364F" w:rsidP="003A364F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</w:rPr>
            </w:pPr>
            <w:r w:rsidRPr="003A364F">
              <w:rPr>
                <w:rFonts w:asciiTheme="minorHAnsi" w:hAnsiTheme="minorHAnsi" w:cstheme="minorHAnsi"/>
                <w:b w:val="0"/>
                <w:bCs w:val="0"/>
              </w:rPr>
              <w:t>Открытого паевого инвестиционного фонда акций “Тройка Диалог – Глобальный Интернет”;</w:t>
            </w:r>
          </w:p>
          <w:p w:rsidR="00256643" w:rsidRPr="003A364F" w:rsidRDefault="003A364F" w:rsidP="003A364F">
            <w:pPr>
              <w:spacing w:after="120" w:line="240" w:lineRule="exact"/>
              <w:ind w:right="-6" w:firstLine="7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A364F">
              <w:rPr>
                <w:rFonts w:asciiTheme="minorHAnsi" w:hAnsiTheme="minorHAnsi" w:cstheme="minorHAnsi"/>
                <w:sz w:val="18"/>
                <w:szCs w:val="18"/>
              </w:rPr>
              <w:t>находящихся в доверительном управлении Управляющей компании</w:t>
            </w:r>
          </w:p>
        </w:tc>
        <w:tc>
          <w:tcPr>
            <w:tcW w:w="2566" w:type="pct"/>
          </w:tcPr>
          <w:p w:rsidR="003A364F" w:rsidRPr="003A364F" w:rsidRDefault="003A364F" w:rsidP="003A364F">
            <w:pPr>
              <w:pStyle w:val="ConsNormal"/>
              <w:spacing w:after="120" w:line="240" w:lineRule="exact"/>
              <w:ind w:right="-1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36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83</w:t>
            </w:r>
            <w:r w:rsidRPr="003A364F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Pr="003A364F">
              <w:rPr>
                <w:rFonts w:asciiTheme="minorHAnsi" w:hAnsiTheme="minorHAnsi" w:cstheme="minorHAnsi"/>
                <w:sz w:val="18"/>
                <w:szCs w:val="18"/>
              </w:rPr>
              <w:t> Инвестиционные паи могут обмениваться на инвестиционные паи:</w:t>
            </w:r>
          </w:p>
          <w:p w:rsidR="003A364F" w:rsidRPr="003A364F" w:rsidRDefault="003A364F" w:rsidP="003A364F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3A364F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облигаций “Тройка Диалог - Илья Муромец”;</w:t>
            </w:r>
          </w:p>
          <w:p w:rsidR="003A364F" w:rsidRPr="003A364F" w:rsidRDefault="003A364F" w:rsidP="003A364F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3A364F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акций “Тройка Диалог – Добрыня Никитич”;</w:t>
            </w:r>
          </w:p>
          <w:p w:rsidR="003A364F" w:rsidRPr="003A364F" w:rsidRDefault="003A364F" w:rsidP="003A364F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3A364F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смешанных инвестиций “Тройка Диалог - Дружина";</w:t>
            </w:r>
          </w:p>
          <w:p w:rsidR="003A364F" w:rsidRPr="003A364F" w:rsidRDefault="003A364F" w:rsidP="003A364F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3A364F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«Тройка Диалог – Фонд денежного рынка»;</w:t>
            </w:r>
          </w:p>
          <w:p w:rsidR="003A364F" w:rsidRPr="003A364F" w:rsidRDefault="003A364F" w:rsidP="003A364F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</w:rPr>
            </w:pPr>
            <w:r w:rsidRPr="003A364F">
              <w:rPr>
                <w:rFonts w:asciiTheme="minorHAnsi" w:hAnsiTheme="minorHAnsi" w:cstheme="minorHAnsi"/>
                <w:b w:val="0"/>
                <w:bCs w:val="0"/>
              </w:rPr>
              <w:t>Открытого паевого инвестиционного фонда акций “Тройка Диалог – Нефтегазовый сектор”;</w:t>
            </w:r>
          </w:p>
          <w:p w:rsidR="003A364F" w:rsidRPr="003A364F" w:rsidRDefault="003A364F" w:rsidP="003A364F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</w:rPr>
            </w:pPr>
            <w:r w:rsidRPr="003A364F">
              <w:rPr>
                <w:rFonts w:asciiTheme="minorHAnsi" w:hAnsiTheme="minorHAnsi" w:cstheme="minorHAnsi"/>
                <w:b w:val="0"/>
                <w:bCs w:val="0"/>
              </w:rPr>
              <w:t>Открытого паевого инвестиционного фонда акций “Тройка Диалог – Финансовый сектор”;</w:t>
            </w:r>
          </w:p>
          <w:p w:rsidR="003A364F" w:rsidRPr="003A364F" w:rsidRDefault="003A364F" w:rsidP="003A364F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</w:rPr>
            </w:pPr>
            <w:r w:rsidRPr="003A364F">
              <w:rPr>
                <w:rFonts w:asciiTheme="minorHAnsi" w:hAnsiTheme="minorHAnsi" w:cstheme="minorHAnsi"/>
                <w:b w:val="0"/>
                <w:bCs w:val="0"/>
              </w:rPr>
              <w:t>Открытого паевого инвестиционного фонда акций “Тройка Диалог – Федеральный”;</w:t>
            </w:r>
          </w:p>
          <w:p w:rsidR="003A364F" w:rsidRPr="003A364F" w:rsidRDefault="003A364F" w:rsidP="003A364F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</w:rPr>
            </w:pPr>
            <w:r w:rsidRPr="003A364F">
              <w:rPr>
                <w:rFonts w:asciiTheme="minorHAnsi" w:hAnsiTheme="minorHAnsi" w:cstheme="minorHAnsi"/>
                <w:b w:val="0"/>
                <w:bCs w:val="0"/>
              </w:rPr>
              <w:lastRenderedPageBreak/>
              <w:t>Открытого паевого инвестиционного фонда акций “Тройка Диалог – Телекоммуникации”;</w:t>
            </w:r>
          </w:p>
          <w:p w:rsidR="003A364F" w:rsidRPr="003A364F" w:rsidRDefault="003A364F" w:rsidP="003A364F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</w:rPr>
            </w:pPr>
            <w:r w:rsidRPr="003A364F">
              <w:rPr>
                <w:rFonts w:asciiTheme="minorHAnsi" w:hAnsiTheme="minorHAnsi" w:cstheme="minorHAnsi"/>
                <w:b w:val="0"/>
                <w:bCs w:val="0"/>
              </w:rPr>
              <w:t>Открытого паевого инвестиционного фонда акций “Тройка Диалог – Металлургия”;</w:t>
            </w:r>
          </w:p>
          <w:p w:rsidR="003A364F" w:rsidRPr="003A364F" w:rsidRDefault="003A364F" w:rsidP="003A364F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</w:rPr>
            </w:pPr>
            <w:r w:rsidRPr="003A364F">
              <w:rPr>
                <w:rFonts w:asciiTheme="minorHAnsi" w:hAnsiTheme="minorHAnsi" w:cstheme="minorHAnsi"/>
                <w:b w:val="0"/>
                <w:bCs w:val="0"/>
              </w:rPr>
              <w:t>Открытого паевого инвестиционного фонда акций “Тройка Диалог – Потребительский сектор”;</w:t>
            </w:r>
          </w:p>
          <w:p w:rsidR="003A364F" w:rsidRPr="003A364F" w:rsidRDefault="003A364F" w:rsidP="003A364F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</w:rPr>
            </w:pPr>
            <w:r w:rsidRPr="003A364F">
              <w:rPr>
                <w:rFonts w:asciiTheme="minorHAnsi" w:hAnsiTheme="minorHAnsi" w:cstheme="minorHAnsi"/>
                <w:b w:val="0"/>
                <w:bCs w:val="0"/>
              </w:rPr>
              <w:t>Открытого паевого инвестиционного фонда акций «Тройка Диалог - Электроэнергетика»;</w:t>
            </w:r>
          </w:p>
          <w:p w:rsidR="003A364F" w:rsidRPr="003A364F" w:rsidRDefault="003A364F" w:rsidP="003A364F">
            <w:pPr>
              <w:spacing w:after="120" w:line="240" w:lineRule="exact"/>
              <w:ind w:right="69"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3A364F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смешанных инвестиций «Тройка Диалог – БРИК»;</w:t>
            </w:r>
          </w:p>
          <w:p w:rsidR="003A364F" w:rsidRPr="003A364F" w:rsidRDefault="003A364F" w:rsidP="003A364F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3A364F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облигаций “Тройка Диалог – Рискованные облигации”;</w:t>
            </w:r>
          </w:p>
          <w:p w:rsidR="003A364F" w:rsidRPr="003A364F" w:rsidRDefault="003A364F" w:rsidP="003A364F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</w:rPr>
            </w:pPr>
            <w:r w:rsidRPr="003A364F">
              <w:rPr>
                <w:rFonts w:asciiTheme="minorHAnsi" w:hAnsiTheme="minorHAnsi" w:cstheme="minorHAnsi"/>
                <w:b w:val="0"/>
                <w:bCs w:val="0"/>
              </w:rPr>
              <w:t>Открытого паевого инвестиционного фонда акций “Тройка Диалог – Компании рынка драгоценных металлов”;</w:t>
            </w:r>
          </w:p>
          <w:p w:rsidR="003A364F" w:rsidRPr="003A364F" w:rsidRDefault="003A364F" w:rsidP="003A364F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</w:rPr>
            </w:pPr>
            <w:r w:rsidRPr="003A364F">
              <w:rPr>
                <w:rFonts w:asciiTheme="minorHAnsi" w:hAnsiTheme="minorHAnsi" w:cstheme="minorHAnsi"/>
                <w:b w:val="0"/>
                <w:bCs w:val="0"/>
              </w:rPr>
              <w:t xml:space="preserve">Открытого паевого инвестиционного фонда акций </w:t>
            </w:r>
            <w:r w:rsidRPr="003A364F">
              <w:rPr>
                <w:rFonts w:asciiTheme="minorHAnsi" w:hAnsiTheme="minorHAnsi" w:cstheme="minorHAnsi"/>
                <w:bCs w:val="0"/>
              </w:rPr>
              <w:t>“Тройка Диалог – Фонд активного управления”;</w:t>
            </w:r>
          </w:p>
          <w:p w:rsidR="003A364F" w:rsidRPr="003A364F" w:rsidRDefault="003A364F" w:rsidP="003A364F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</w:rPr>
            </w:pPr>
            <w:r w:rsidRPr="003A364F">
              <w:rPr>
                <w:rFonts w:asciiTheme="minorHAnsi" w:hAnsiTheme="minorHAnsi" w:cstheme="minorHAnsi"/>
                <w:b w:val="0"/>
                <w:bCs w:val="0"/>
              </w:rPr>
              <w:t>Открытого паевого инвестиционного фонда акций “Тройка Диалог – Глобальный Интернет”;</w:t>
            </w:r>
          </w:p>
          <w:p w:rsidR="00256643" w:rsidRPr="003A364F" w:rsidRDefault="003A364F" w:rsidP="003A364F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A364F">
              <w:rPr>
                <w:rFonts w:asciiTheme="minorHAnsi" w:hAnsiTheme="minorHAnsi" w:cstheme="minorHAnsi"/>
                <w:sz w:val="18"/>
                <w:szCs w:val="18"/>
              </w:rPr>
              <w:t>находящихся в доверительном управлении Управляющей компании</w:t>
            </w:r>
          </w:p>
        </w:tc>
      </w:tr>
    </w:tbl>
    <w:p w:rsidR="00272082" w:rsidRDefault="00272082" w:rsidP="00B44033">
      <w:pPr>
        <w:spacing w:after="120" w:line="240" w:lineRule="exact"/>
        <w:jc w:val="center"/>
        <w:rPr>
          <w:rFonts w:ascii="Arial" w:hAnsi="Arial" w:cs="Arial"/>
          <w:sz w:val="18"/>
          <w:szCs w:val="18"/>
        </w:rPr>
      </w:pPr>
    </w:p>
    <w:p w:rsidR="00C51128" w:rsidRDefault="00C51128" w:rsidP="00C51128">
      <w:pPr>
        <w:spacing w:line="240" w:lineRule="exact"/>
        <w:rPr>
          <w:rFonts w:ascii="Calibri" w:hAnsi="Calibri" w:cs="Calibri"/>
          <w:b/>
          <w:bCs/>
          <w:i/>
          <w:iCs/>
          <w:sz w:val="18"/>
          <w:szCs w:val="18"/>
        </w:rPr>
      </w:pPr>
    </w:p>
    <w:p w:rsidR="00C51128" w:rsidRDefault="00C51128" w:rsidP="00C51128">
      <w:pPr>
        <w:spacing w:line="240" w:lineRule="exac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AD62BF">
        <w:rPr>
          <w:rFonts w:ascii="Calibri" w:hAnsi="Calibri" w:cs="Calibri"/>
          <w:b/>
          <w:bCs/>
          <w:i/>
          <w:iCs/>
          <w:sz w:val="18"/>
          <w:szCs w:val="18"/>
        </w:rPr>
        <w:t>Директор</w:t>
      </w:r>
    </w:p>
    <w:p w:rsidR="00C51128" w:rsidRPr="00AD62BF" w:rsidRDefault="00C51128" w:rsidP="00C51128">
      <w:pPr>
        <w:spacing w:line="240" w:lineRule="exac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AD62BF">
        <w:rPr>
          <w:rFonts w:ascii="Calibri" w:hAnsi="Calibri" w:cs="Calibri"/>
          <w:b/>
          <w:bCs/>
          <w:i/>
          <w:iCs/>
          <w:sz w:val="18"/>
          <w:szCs w:val="18"/>
        </w:rPr>
        <w:t>Отдела по структурированию и поддержке фондов</w:t>
      </w:r>
    </w:p>
    <w:p w:rsidR="00C51128" w:rsidRPr="00AD62BF" w:rsidRDefault="00C51128" w:rsidP="00C51128">
      <w:pPr>
        <w:spacing w:line="240" w:lineRule="exac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AD62BF">
        <w:rPr>
          <w:rFonts w:ascii="Calibri" w:hAnsi="Calibri" w:cs="Calibri"/>
          <w:b/>
          <w:bCs/>
          <w:i/>
          <w:iCs/>
          <w:sz w:val="18"/>
          <w:szCs w:val="18"/>
        </w:rPr>
        <w:t xml:space="preserve">Закрытого акционерного общества </w:t>
      </w:r>
    </w:p>
    <w:p w:rsidR="00C51128" w:rsidRPr="00AD62BF" w:rsidRDefault="00C51128" w:rsidP="00C51128">
      <w:pPr>
        <w:pStyle w:val="fieldcomment"/>
        <w:spacing w:before="0" w:after="0"/>
        <w:rPr>
          <w:rFonts w:ascii="Calibri" w:hAnsi="Calibri" w:cs="Calibri"/>
          <w:b/>
          <w:bCs/>
          <w:i/>
          <w:iCs/>
          <w:sz w:val="18"/>
          <w:szCs w:val="18"/>
          <w:lang w:val="ru-RU"/>
        </w:rPr>
      </w:pPr>
      <w:r w:rsidRPr="00AD62BF">
        <w:rPr>
          <w:rFonts w:ascii="Calibri" w:hAnsi="Calibri" w:cs="Calibri"/>
          <w:b/>
          <w:bCs/>
          <w:i/>
          <w:iCs/>
          <w:sz w:val="18"/>
          <w:szCs w:val="18"/>
          <w:lang w:val="ru-RU"/>
        </w:rPr>
        <w:t xml:space="preserve">«Управляющая компания «Тройка Диалог»                                                </w:t>
      </w:r>
      <w:r>
        <w:rPr>
          <w:rFonts w:ascii="Calibri" w:hAnsi="Calibri" w:cs="Calibri"/>
          <w:b/>
          <w:bCs/>
          <w:i/>
          <w:iCs/>
          <w:sz w:val="18"/>
          <w:szCs w:val="18"/>
          <w:lang w:val="ru-RU"/>
        </w:rPr>
        <w:t xml:space="preserve">                    </w:t>
      </w:r>
      <w:r w:rsidRPr="00AD62BF">
        <w:rPr>
          <w:rFonts w:ascii="Calibri" w:hAnsi="Calibri" w:cs="Calibri"/>
          <w:b/>
          <w:bCs/>
          <w:i/>
          <w:iCs/>
          <w:sz w:val="18"/>
          <w:szCs w:val="18"/>
          <w:lang w:val="ru-RU"/>
        </w:rPr>
        <w:t xml:space="preserve">  </w:t>
      </w:r>
      <w:r w:rsidRPr="00AD62BF">
        <w:rPr>
          <w:rFonts w:ascii="Calibri" w:hAnsi="Calibri" w:cs="Calibri"/>
          <w:b/>
          <w:bCs/>
          <w:i/>
          <w:iCs/>
          <w:sz w:val="18"/>
          <w:szCs w:val="18"/>
          <w:lang w:val="ru-RU"/>
        </w:rPr>
        <w:tab/>
        <w:t xml:space="preserve">                            В.А. Илларионов</w:t>
      </w:r>
    </w:p>
    <w:p w:rsidR="006C71D4" w:rsidRPr="00675F25" w:rsidRDefault="006C71D4" w:rsidP="00C51128">
      <w:pPr>
        <w:spacing w:line="240" w:lineRule="exact"/>
      </w:pPr>
    </w:p>
    <w:sectPr w:rsidR="006C71D4" w:rsidRPr="00675F25" w:rsidSect="00937F66">
      <w:footerReference w:type="default" r:id="rId10"/>
      <w:pgSz w:w="11906" w:h="16838"/>
      <w:pgMar w:top="540" w:right="746" w:bottom="71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AD9" w:rsidRDefault="00085AD9">
      <w:r>
        <w:separator/>
      </w:r>
    </w:p>
  </w:endnote>
  <w:endnote w:type="continuationSeparator" w:id="0">
    <w:p w:rsidR="00085AD9" w:rsidRDefault="00085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eiryo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509" w:rsidRDefault="006C0509">
    <w:pPr>
      <w:pStyle w:val="af1"/>
      <w:framePr w:w="898" w:wrap="auto" w:vAnchor="text" w:hAnchor="page" w:x="9802" w:y="33"/>
      <w:rPr>
        <w:rStyle w:val="af3"/>
        <w:rFonts w:ascii="Arial" w:hAnsi="Arial" w:cs="Arial"/>
        <w:i/>
        <w:iCs/>
        <w:sz w:val="14"/>
        <w:szCs w:val="14"/>
      </w:rPr>
    </w:pPr>
    <w:r>
      <w:rPr>
        <w:rStyle w:val="af3"/>
        <w:rFonts w:ascii="Arial" w:hAnsi="Arial" w:cs="Arial"/>
        <w:i/>
        <w:iCs/>
        <w:sz w:val="14"/>
        <w:szCs w:val="14"/>
      </w:rPr>
      <w:t xml:space="preserve">Стр. </w:t>
    </w:r>
    <w:r>
      <w:rPr>
        <w:rStyle w:val="af3"/>
        <w:rFonts w:ascii="Arial" w:hAnsi="Arial" w:cs="Arial"/>
        <w:i/>
        <w:iCs/>
        <w:sz w:val="14"/>
        <w:szCs w:val="14"/>
      </w:rPr>
      <w:fldChar w:fldCharType="begin"/>
    </w:r>
    <w:r>
      <w:rPr>
        <w:rStyle w:val="af3"/>
        <w:rFonts w:ascii="Arial" w:hAnsi="Arial" w:cs="Arial"/>
        <w:i/>
        <w:iCs/>
        <w:sz w:val="14"/>
        <w:szCs w:val="14"/>
      </w:rPr>
      <w:instrText xml:space="preserve">PAGE  </w:instrText>
    </w:r>
    <w:r>
      <w:rPr>
        <w:rStyle w:val="af3"/>
        <w:rFonts w:ascii="Arial" w:hAnsi="Arial" w:cs="Arial"/>
        <w:i/>
        <w:iCs/>
        <w:sz w:val="14"/>
        <w:szCs w:val="14"/>
      </w:rPr>
      <w:fldChar w:fldCharType="separate"/>
    </w:r>
    <w:r w:rsidR="007568DF">
      <w:rPr>
        <w:rStyle w:val="af3"/>
        <w:rFonts w:ascii="Arial" w:hAnsi="Arial" w:cs="Arial"/>
        <w:i/>
        <w:iCs/>
        <w:noProof/>
        <w:sz w:val="14"/>
        <w:szCs w:val="14"/>
      </w:rPr>
      <w:t>2</w:t>
    </w:r>
    <w:r>
      <w:rPr>
        <w:rStyle w:val="af3"/>
        <w:rFonts w:ascii="Arial" w:hAnsi="Arial" w:cs="Arial"/>
        <w:i/>
        <w:iCs/>
        <w:sz w:val="14"/>
        <w:szCs w:val="14"/>
      </w:rPr>
      <w:fldChar w:fldCharType="end"/>
    </w:r>
    <w:r>
      <w:rPr>
        <w:rStyle w:val="af3"/>
        <w:rFonts w:ascii="Arial" w:hAnsi="Arial" w:cs="Arial"/>
        <w:i/>
        <w:iCs/>
        <w:sz w:val="14"/>
        <w:szCs w:val="14"/>
      </w:rPr>
      <w:t>/</w:t>
    </w:r>
    <w:r w:rsidR="003A364F">
      <w:rPr>
        <w:rStyle w:val="af3"/>
        <w:rFonts w:ascii="Arial" w:hAnsi="Arial" w:cs="Arial"/>
        <w:i/>
        <w:iCs/>
        <w:sz w:val="14"/>
        <w:szCs w:val="14"/>
      </w:rPr>
      <w:t>2</w:t>
    </w:r>
  </w:p>
  <w:p w:rsidR="00A00F59" w:rsidRPr="00F74123" w:rsidRDefault="00A00F59">
    <w:pPr>
      <w:pStyle w:val="af1"/>
      <w:framePr w:w="898" w:wrap="auto" w:vAnchor="text" w:hAnchor="page" w:x="9802" w:y="33"/>
      <w:rPr>
        <w:rStyle w:val="af3"/>
        <w:rFonts w:ascii="Arial" w:hAnsi="Arial" w:cs="Arial"/>
        <w:i/>
        <w:iCs/>
        <w:sz w:val="14"/>
        <w:szCs w:val="14"/>
      </w:rPr>
    </w:pPr>
  </w:p>
  <w:p w:rsidR="006C0509" w:rsidRPr="00F74123" w:rsidRDefault="006C0509">
    <w:pPr>
      <w:pStyle w:val="af1"/>
      <w:framePr w:w="898" w:wrap="auto" w:vAnchor="text" w:hAnchor="page" w:x="9802" w:y="33"/>
      <w:rPr>
        <w:rStyle w:val="af3"/>
        <w:rFonts w:ascii="Arial" w:hAnsi="Arial" w:cs="Arial"/>
        <w:i/>
        <w:iCs/>
        <w:sz w:val="14"/>
        <w:szCs w:val="14"/>
      </w:rPr>
    </w:pPr>
  </w:p>
  <w:p w:rsidR="006C0509" w:rsidRDefault="006C0509">
    <w:pPr>
      <w:pStyle w:val="af1"/>
      <w:ind w:right="360"/>
      <w:jc w:val="center"/>
      <w:rPr>
        <w:rFonts w:ascii="Arial" w:hAnsi="Arial" w:cs="Arial"/>
        <w:i/>
        <w:iCs/>
        <w:sz w:val="14"/>
        <w:szCs w:val="14"/>
      </w:rPr>
    </w:pPr>
    <w:r>
      <w:rPr>
        <w:rFonts w:ascii="Arial" w:hAnsi="Arial" w:cs="Arial"/>
        <w:i/>
        <w:iCs/>
        <w:sz w:val="14"/>
        <w:szCs w:val="14"/>
      </w:rPr>
      <w:t>Изменения, которые вносятся в Правила доверительного управления Открытым паевым инвестиционным</w:t>
    </w:r>
  </w:p>
  <w:p w:rsidR="006C0509" w:rsidRDefault="006C0509">
    <w:pPr>
      <w:pStyle w:val="af1"/>
      <w:ind w:right="360"/>
      <w:jc w:val="center"/>
      <w:rPr>
        <w:rFonts w:ascii="Arial" w:hAnsi="Arial" w:cs="Arial"/>
        <w:i/>
        <w:iCs/>
        <w:sz w:val="14"/>
        <w:szCs w:val="14"/>
      </w:rPr>
    </w:pPr>
    <w:r>
      <w:rPr>
        <w:rFonts w:ascii="Arial" w:hAnsi="Arial" w:cs="Arial"/>
        <w:i/>
        <w:iCs/>
        <w:sz w:val="14"/>
        <w:szCs w:val="14"/>
      </w:rPr>
      <w:t xml:space="preserve"> фондом </w:t>
    </w:r>
    <w:r w:rsidR="00A00F59">
      <w:rPr>
        <w:rFonts w:ascii="Arial" w:hAnsi="Arial" w:cs="Arial"/>
        <w:i/>
        <w:iCs/>
        <w:sz w:val="14"/>
        <w:szCs w:val="14"/>
      </w:rPr>
      <w:t>акций</w:t>
    </w:r>
    <w:r>
      <w:rPr>
        <w:rFonts w:ascii="Arial" w:hAnsi="Arial" w:cs="Arial"/>
        <w:i/>
        <w:iCs/>
        <w:sz w:val="14"/>
        <w:szCs w:val="14"/>
      </w:rPr>
      <w:t xml:space="preserve"> «Тройка Диалог – </w:t>
    </w:r>
    <w:r w:rsidR="00A00F59">
      <w:rPr>
        <w:rFonts w:ascii="Arial" w:hAnsi="Arial" w:cs="Arial"/>
        <w:i/>
        <w:iCs/>
        <w:sz w:val="14"/>
        <w:szCs w:val="14"/>
      </w:rPr>
      <w:t>Потенциал</w:t>
    </w:r>
    <w:r>
      <w:rPr>
        <w:rFonts w:ascii="Arial" w:hAnsi="Arial" w:cs="Arial"/>
        <w:i/>
        <w:iCs/>
        <w:sz w:val="14"/>
        <w:szCs w:val="14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AD9" w:rsidRDefault="00085AD9">
      <w:r>
        <w:separator/>
      </w:r>
    </w:p>
  </w:footnote>
  <w:footnote w:type="continuationSeparator" w:id="0">
    <w:p w:rsidR="00085AD9" w:rsidRDefault="00085A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3EEB8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C98773A"/>
    <w:multiLevelType w:val="hybridMultilevel"/>
    <w:tmpl w:val="72BCF04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59A0CD4"/>
    <w:multiLevelType w:val="hybridMultilevel"/>
    <w:tmpl w:val="00200288"/>
    <w:lvl w:ilvl="0" w:tplc="858029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1"/>
  </w:num>
  <w:num w:numId="3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B634A"/>
    <w:rsid w:val="000107D3"/>
    <w:rsid w:val="00011B87"/>
    <w:rsid w:val="00012CF5"/>
    <w:rsid w:val="00021851"/>
    <w:rsid w:val="00025DE9"/>
    <w:rsid w:val="000378DD"/>
    <w:rsid w:val="000436C6"/>
    <w:rsid w:val="000532BF"/>
    <w:rsid w:val="0005620D"/>
    <w:rsid w:val="000759BF"/>
    <w:rsid w:val="00085AD9"/>
    <w:rsid w:val="000A7029"/>
    <w:rsid w:val="000B0F43"/>
    <w:rsid w:val="000B3355"/>
    <w:rsid w:val="000B75BB"/>
    <w:rsid w:val="000E5BDE"/>
    <w:rsid w:val="000F0DC5"/>
    <w:rsid w:val="000F1155"/>
    <w:rsid w:val="000F668A"/>
    <w:rsid w:val="00113AAE"/>
    <w:rsid w:val="0011429E"/>
    <w:rsid w:val="001263DE"/>
    <w:rsid w:val="00135BDD"/>
    <w:rsid w:val="00141374"/>
    <w:rsid w:val="00156485"/>
    <w:rsid w:val="00170BF7"/>
    <w:rsid w:val="00172771"/>
    <w:rsid w:val="00177EBA"/>
    <w:rsid w:val="00191234"/>
    <w:rsid w:val="001B1446"/>
    <w:rsid w:val="001B5D28"/>
    <w:rsid w:val="001E4EF4"/>
    <w:rsid w:val="001F53A8"/>
    <w:rsid w:val="00220B03"/>
    <w:rsid w:val="00237880"/>
    <w:rsid w:val="00240817"/>
    <w:rsid w:val="002533C8"/>
    <w:rsid w:val="0025470C"/>
    <w:rsid w:val="00254ABF"/>
    <w:rsid w:val="00256643"/>
    <w:rsid w:val="00260A8F"/>
    <w:rsid w:val="00270DBA"/>
    <w:rsid w:val="00272082"/>
    <w:rsid w:val="002754F4"/>
    <w:rsid w:val="00284B36"/>
    <w:rsid w:val="00297327"/>
    <w:rsid w:val="002C3114"/>
    <w:rsid w:val="002C47D8"/>
    <w:rsid w:val="002D27AF"/>
    <w:rsid w:val="002D36E2"/>
    <w:rsid w:val="002E6C8B"/>
    <w:rsid w:val="003038E9"/>
    <w:rsid w:val="003147B0"/>
    <w:rsid w:val="003200C5"/>
    <w:rsid w:val="00320978"/>
    <w:rsid w:val="00345B85"/>
    <w:rsid w:val="003511AB"/>
    <w:rsid w:val="00352312"/>
    <w:rsid w:val="003560B1"/>
    <w:rsid w:val="003711A7"/>
    <w:rsid w:val="0039284E"/>
    <w:rsid w:val="003A3628"/>
    <w:rsid w:val="003A364F"/>
    <w:rsid w:val="003B1E03"/>
    <w:rsid w:val="003D0486"/>
    <w:rsid w:val="003D6C44"/>
    <w:rsid w:val="003E3017"/>
    <w:rsid w:val="003F10E3"/>
    <w:rsid w:val="00421E34"/>
    <w:rsid w:val="00424785"/>
    <w:rsid w:val="004424DF"/>
    <w:rsid w:val="00442874"/>
    <w:rsid w:val="00446638"/>
    <w:rsid w:val="00462C43"/>
    <w:rsid w:val="00477BEB"/>
    <w:rsid w:val="00482F83"/>
    <w:rsid w:val="00484000"/>
    <w:rsid w:val="0049031D"/>
    <w:rsid w:val="004904B4"/>
    <w:rsid w:val="00491CCE"/>
    <w:rsid w:val="004A03B6"/>
    <w:rsid w:val="004B7B50"/>
    <w:rsid w:val="004C7A29"/>
    <w:rsid w:val="004D1C61"/>
    <w:rsid w:val="00505661"/>
    <w:rsid w:val="005332B8"/>
    <w:rsid w:val="00540B97"/>
    <w:rsid w:val="00542544"/>
    <w:rsid w:val="00553628"/>
    <w:rsid w:val="00562D80"/>
    <w:rsid w:val="00565616"/>
    <w:rsid w:val="00571BE0"/>
    <w:rsid w:val="00582A93"/>
    <w:rsid w:val="00582E64"/>
    <w:rsid w:val="00591B11"/>
    <w:rsid w:val="005A5521"/>
    <w:rsid w:val="005A70F4"/>
    <w:rsid w:val="005B2C57"/>
    <w:rsid w:val="005B4452"/>
    <w:rsid w:val="005C7005"/>
    <w:rsid w:val="005D25E1"/>
    <w:rsid w:val="005D283A"/>
    <w:rsid w:val="005D6F04"/>
    <w:rsid w:val="005E10F4"/>
    <w:rsid w:val="005E1ABE"/>
    <w:rsid w:val="00612A33"/>
    <w:rsid w:val="00624D38"/>
    <w:rsid w:val="00625200"/>
    <w:rsid w:val="00636C0F"/>
    <w:rsid w:val="00651C01"/>
    <w:rsid w:val="0066335E"/>
    <w:rsid w:val="00673C79"/>
    <w:rsid w:val="00675F25"/>
    <w:rsid w:val="006A5496"/>
    <w:rsid w:val="006A6D03"/>
    <w:rsid w:val="006B1942"/>
    <w:rsid w:val="006C0509"/>
    <w:rsid w:val="006C51E0"/>
    <w:rsid w:val="006C71D4"/>
    <w:rsid w:val="006E5A4C"/>
    <w:rsid w:val="006F7518"/>
    <w:rsid w:val="00707BB4"/>
    <w:rsid w:val="00707C8E"/>
    <w:rsid w:val="00734C93"/>
    <w:rsid w:val="007568DF"/>
    <w:rsid w:val="00762C34"/>
    <w:rsid w:val="00765126"/>
    <w:rsid w:val="007675DF"/>
    <w:rsid w:val="00772D72"/>
    <w:rsid w:val="007907BD"/>
    <w:rsid w:val="007A1EDD"/>
    <w:rsid w:val="007B2128"/>
    <w:rsid w:val="007C06AB"/>
    <w:rsid w:val="007C57AA"/>
    <w:rsid w:val="007C7710"/>
    <w:rsid w:val="007D168E"/>
    <w:rsid w:val="008115AE"/>
    <w:rsid w:val="00813367"/>
    <w:rsid w:val="008176DE"/>
    <w:rsid w:val="00827560"/>
    <w:rsid w:val="00834708"/>
    <w:rsid w:val="00851C25"/>
    <w:rsid w:val="00857C91"/>
    <w:rsid w:val="00863DAB"/>
    <w:rsid w:val="0086676E"/>
    <w:rsid w:val="008814DF"/>
    <w:rsid w:val="00893B0B"/>
    <w:rsid w:val="008A7741"/>
    <w:rsid w:val="008D5887"/>
    <w:rsid w:val="008D6A80"/>
    <w:rsid w:val="00902057"/>
    <w:rsid w:val="00937F66"/>
    <w:rsid w:val="00940ABD"/>
    <w:rsid w:val="009449FC"/>
    <w:rsid w:val="00946F8C"/>
    <w:rsid w:val="00963492"/>
    <w:rsid w:val="00967D6F"/>
    <w:rsid w:val="00983258"/>
    <w:rsid w:val="00985F52"/>
    <w:rsid w:val="009A3416"/>
    <w:rsid w:val="009A380B"/>
    <w:rsid w:val="009C23DA"/>
    <w:rsid w:val="009C5A05"/>
    <w:rsid w:val="009C6B3E"/>
    <w:rsid w:val="009F37C9"/>
    <w:rsid w:val="009F7C16"/>
    <w:rsid w:val="00A00F59"/>
    <w:rsid w:val="00A033BE"/>
    <w:rsid w:val="00A053C5"/>
    <w:rsid w:val="00A25C09"/>
    <w:rsid w:val="00A265C3"/>
    <w:rsid w:val="00A330C0"/>
    <w:rsid w:val="00A64D99"/>
    <w:rsid w:val="00A6524B"/>
    <w:rsid w:val="00A70380"/>
    <w:rsid w:val="00A90B49"/>
    <w:rsid w:val="00A95C5D"/>
    <w:rsid w:val="00AD396F"/>
    <w:rsid w:val="00AD62BF"/>
    <w:rsid w:val="00B05DAE"/>
    <w:rsid w:val="00B20A5A"/>
    <w:rsid w:val="00B32827"/>
    <w:rsid w:val="00B357D9"/>
    <w:rsid w:val="00B44033"/>
    <w:rsid w:val="00B648E9"/>
    <w:rsid w:val="00B7244B"/>
    <w:rsid w:val="00B757EE"/>
    <w:rsid w:val="00B85D86"/>
    <w:rsid w:val="00B96E2F"/>
    <w:rsid w:val="00BA4097"/>
    <w:rsid w:val="00BA6B41"/>
    <w:rsid w:val="00BC0138"/>
    <w:rsid w:val="00BD4DBE"/>
    <w:rsid w:val="00BE2EFE"/>
    <w:rsid w:val="00BE480F"/>
    <w:rsid w:val="00C11C8A"/>
    <w:rsid w:val="00C21978"/>
    <w:rsid w:val="00C25F88"/>
    <w:rsid w:val="00C41B47"/>
    <w:rsid w:val="00C440B1"/>
    <w:rsid w:val="00C466BF"/>
    <w:rsid w:val="00C479B0"/>
    <w:rsid w:val="00C51128"/>
    <w:rsid w:val="00C5382F"/>
    <w:rsid w:val="00C654CA"/>
    <w:rsid w:val="00CC30B0"/>
    <w:rsid w:val="00CD6A90"/>
    <w:rsid w:val="00CF320A"/>
    <w:rsid w:val="00CF51C4"/>
    <w:rsid w:val="00CF76B2"/>
    <w:rsid w:val="00D132FD"/>
    <w:rsid w:val="00D2133A"/>
    <w:rsid w:val="00D22A6A"/>
    <w:rsid w:val="00D318A9"/>
    <w:rsid w:val="00D33616"/>
    <w:rsid w:val="00D412D9"/>
    <w:rsid w:val="00D4183E"/>
    <w:rsid w:val="00D441B6"/>
    <w:rsid w:val="00D47F51"/>
    <w:rsid w:val="00D50514"/>
    <w:rsid w:val="00D5707F"/>
    <w:rsid w:val="00D6324D"/>
    <w:rsid w:val="00D70B2E"/>
    <w:rsid w:val="00D7174B"/>
    <w:rsid w:val="00D85D32"/>
    <w:rsid w:val="00DB634A"/>
    <w:rsid w:val="00DC12E8"/>
    <w:rsid w:val="00DE40F3"/>
    <w:rsid w:val="00DE51A5"/>
    <w:rsid w:val="00DF3D2E"/>
    <w:rsid w:val="00DF6B36"/>
    <w:rsid w:val="00E05F2C"/>
    <w:rsid w:val="00E328F7"/>
    <w:rsid w:val="00E60562"/>
    <w:rsid w:val="00E93C90"/>
    <w:rsid w:val="00EA0B41"/>
    <w:rsid w:val="00EA41B4"/>
    <w:rsid w:val="00EB3E26"/>
    <w:rsid w:val="00EE1992"/>
    <w:rsid w:val="00EE51BA"/>
    <w:rsid w:val="00EE5686"/>
    <w:rsid w:val="00EF32CD"/>
    <w:rsid w:val="00EF71AF"/>
    <w:rsid w:val="00F01944"/>
    <w:rsid w:val="00F07647"/>
    <w:rsid w:val="00F10742"/>
    <w:rsid w:val="00F25F8B"/>
    <w:rsid w:val="00F34072"/>
    <w:rsid w:val="00F52475"/>
    <w:rsid w:val="00F61FC4"/>
    <w:rsid w:val="00F6231D"/>
    <w:rsid w:val="00F66210"/>
    <w:rsid w:val="00F676C4"/>
    <w:rsid w:val="00F67A34"/>
    <w:rsid w:val="00F74123"/>
    <w:rsid w:val="00F951E8"/>
    <w:rsid w:val="00FA4F57"/>
    <w:rsid w:val="00FC240D"/>
    <w:rsid w:val="00FC3B2F"/>
    <w:rsid w:val="00FC79AD"/>
    <w:rsid w:val="00FD4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9"/>
    <w:qFormat/>
    <w:pPr>
      <w:spacing w:before="375" w:after="375"/>
      <w:jc w:val="center"/>
      <w:outlineLvl w:val="0"/>
    </w:pPr>
    <w:rPr>
      <w:rFonts w:ascii="Arial" w:hAnsi="Arial" w:cs="Arial"/>
      <w:b/>
      <w:bCs/>
      <w:kern w:val="36"/>
      <w:lang w:val="en-US"/>
    </w:rPr>
  </w:style>
  <w:style w:type="paragraph" w:styleId="2">
    <w:name w:val="heading 2"/>
    <w:basedOn w:val="a"/>
    <w:link w:val="20"/>
    <w:uiPriority w:val="99"/>
    <w:qFormat/>
    <w:pPr>
      <w:spacing w:before="45" w:after="45"/>
      <w:jc w:val="center"/>
      <w:outlineLvl w:val="1"/>
    </w:pPr>
    <w:rPr>
      <w:rFonts w:ascii="Arial" w:hAnsi="Arial" w:cs="Arial"/>
      <w:b/>
      <w:bCs/>
      <w:sz w:val="15"/>
      <w:szCs w:val="15"/>
      <w:u w:val="single"/>
      <w:lang w:val="en-US"/>
    </w:rPr>
  </w:style>
  <w:style w:type="paragraph" w:styleId="3">
    <w:name w:val="heading 3"/>
    <w:basedOn w:val="a"/>
    <w:link w:val="30"/>
    <w:uiPriority w:val="99"/>
    <w:qFormat/>
    <w:pPr>
      <w:pBdr>
        <w:bottom w:val="single" w:sz="6" w:space="0" w:color="808080"/>
      </w:pBdr>
      <w:shd w:val="clear" w:color="auto" w:fill="C0C0C0"/>
      <w:spacing w:after="45"/>
      <w:jc w:val="center"/>
      <w:outlineLvl w:val="2"/>
    </w:pPr>
    <w:rPr>
      <w:rFonts w:ascii="Arial" w:hAnsi="Arial" w:cs="Arial"/>
      <w:b/>
      <w:bCs/>
      <w:sz w:val="18"/>
      <w:szCs w:val="18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right="-627"/>
      <w:jc w:val="center"/>
      <w:outlineLvl w:val="4"/>
    </w:pPr>
    <w:rPr>
      <w:rFonts w:ascii="Arial" w:hAnsi="Arial" w:cs="Arial"/>
      <w:b/>
      <w:bCs/>
      <w:sz w:val="17"/>
      <w:szCs w:val="17"/>
    </w:rPr>
  </w:style>
  <w:style w:type="paragraph" w:styleId="6">
    <w:name w:val="heading 6"/>
    <w:basedOn w:val="a"/>
    <w:next w:val="a"/>
    <w:link w:val="60"/>
    <w:uiPriority w:val="99"/>
    <w:qFormat/>
    <w:pPr>
      <w:keepNext/>
      <w:ind w:right="-627"/>
      <w:jc w:val="both"/>
      <w:outlineLvl w:val="5"/>
    </w:pPr>
    <w:rPr>
      <w:rFonts w:ascii="Arial" w:hAnsi="Arial" w:cs="Arial"/>
      <w:b/>
      <w:bCs/>
      <w:sz w:val="17"/>
      <w:szCs w:val="17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627"/>
      <w:outlineLvl w:val="6"/>
    </w:pPr>
    <w:rPr>
      <w:rFonts w:ascii="Arial" w:hAnsi="Arial" w:cs="Arial"/>
      <w:b/>
      <w:bCs/>
      <w:sz w:val="17"/>
      <w:szCs w:val="17"/>
    </w:rPr>
  </w:style>
  <w:style w:type="paragraph" w:styleId="8">
    <w:name w:val="heading 8"/>
    <w:basedOn w:val="a"/>
    <w:next w:val="a"/>
    <w:link w:val="80"/>
    <w:uiPriority w:val="99"/>
    <w:qFormat/>
    <w:pPr>
      <w:keepNext/>
      <w:ind w:right="-627"/>
      <w:jc w:val="both"/>
      <w:outlineLvl w:val="7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aliases w:val="Char Char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eastAsia="en-US"/>
    </w:rPr>
  </w:style>
  <w:style w:type="paragraph" w:styleId="a3">
    <w:name w:val="Normal (Web)"/>
    <w:basedOn w:val="a"/>
    <w:uiPriority w:val="99"/>
    <w:pPr>
      <w:spacing w:before="45" w:after="45"/>
    </w:pPr>
    <w:rPr>
      <w:rFonts w:ascii="Arial" w:hAnsi="Arial" w:cs="Arial"/>
      <w:sz w:val="16"/>
      <w:szCs w:val="16"/>
      <w:lang w:val="en-US"/>
    </w:rPr>
  </w:style>
  <w:style w:type="paragraph" w:customStyle="1" w:styleId="fieldcomment">
    <w:name w:val="field_comment"/>
    <w:basedOn w:val="a"/>
    <w:uiPriority w:val="99"/>
    <w:pPr>
      <w:spacing w:before="45" w:after="45"/>
    </w:pPr>
    <w:rPr>
      <w:rFonts w:ascii="Arial" w:hAnsi="Arial" w:cs="Arial"/>
      <w:sz w:val="9"/>
      <w:szCs w:val="9"/>
      <w:lang w:val="en-US"/>
    </w:rPr>
  </w:style>
  <w:style w:type="paragraph" w:customStyle="1" w:styleId="fieldname">
    <w:name w:val="field_name"/>
    <w:basedOn w:val="a"/>
    <w:uiPriority w:val="99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signfield">
    <w:name w:val="sign_field"/>
    <w:basedOn w:val="a"/>
    <w:uiPriority w:val="99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/>
    </w:rPr>
  </w:style>
  <w:style w:type="paragraph" w:customStyle="1" w:styleId="stampfield">
    <w:name w:val="stamp_field"/>
    <w:basedOn w:val="a"/>
    <w:uiPriority w:val="99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/>
    </w:rPr>
  </w:style>
  <w:style w:type="paragraph" w:customStyle="1" w:styleId="fielddata">
    <w:name w:val="field_data"/>
    <w:basedOn w:val="a"/>
    <w:uiPriority w:val="99"/>
    <w:pPr>
      <w:spacing w:before="45" w:after="45"/>
    </w:pPr>
    <w:rPr>
      <w:rFonts w:ascii="Arial" w:hAnsi="Arial" w:cs="Arial"/>
      <w:sz w:val="16"/>
      <w:szCs w:val="16"/>
      <w:lang w:val="en-US"/>
    </w:rPr>
  </w:style>
  <w:style w:type="character" w:customStyle="1" w:styleId="fieldcomment1">
    <w:name w:val="field_comment1"/>
    <w:basedOn w:val="a0"/>
    <w:uiPriority w:val="99"/>
    <w:rPr>
      <w:rFonts w:cs="Times New Roman"/>
      <w:sz w:val="9"/>
      <w:szCs w:val="9"/>
    </w:rPr>
  </w:style>
  <w:style w:type="paragraph" w:customStyle="1" w:styleId="footnote">
    <w:name w:val="footnote"/>
    <w:basedOn w:val="a"/>
    <w:uiPriority w:val="99"/>
    <w:pPr>
      <w:spacing w:after="105"/>
      <w:ind w:left="367"/>
    </w:pPr>
    <w:rPr>
      <w:rFonts w:ascii="Arial" w:hAnsi="Arial" w:cs="Arial"/>
      <w:sz w:val="9"/>
      <w:szCs w:val="9"/>
      <w:lang w:val="en-US"/>
    </w:rPr>
  </w:style>
  <w:style w:type="paragraph" w:styleId="a4">
    <w:name w:val="Balloon Text"/>
    <w:basedOn w:val="a"/>
    <w:link w:val="a5"/>
    <w:uiPriority w:val="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  <w:lang w:eastAsia="en-US"/>
    </w:rPr>
  </w:style>
  <w:style w:type="character" w:styleId="a6">
    <w:name w:val="annotation reference"/>
    <w:basedOn w:val="a0"/>
    <w:uiPriority w:val="99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pPr>
      <w:spacing w:line="360" w:lineRule="atLeast"/>
      <w:jc w:val="both"/>
    </w:pPr>
    <w:rPr>
      <w:rFonts w:ascii="Times New Roman CYR" w:hAnsi="Times New Roman CYR" w:cs="Times New Roman CYR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Style">
    <w:name w:val="Style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9">
    <w:name w:val="Основной шрифт"/>
    <w:uiPriority w:val="99"/>
  </w:style>
  <w:style w:type="paragraph" w:styleId="aa">
    <w:name w:val="Body Text"/>
    <w:basedOn w:val="a"/>
    <w:link w:val="ab"/>
    <w:uiPriority w:val="9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4"/>
      <w:szCs w:val="24"/>
      <w:lang w:eastAsia="en-US"/>
    </w:rPr>
  </w:style>
  <w:style w:type="paragraph" w:styleId="ac">
    <w:name w:val="Body Text First Indent"/>
    <w:basedOn w:val="aa"/>
    <w:link w:val="ad"/>
    <w:uiPriority w:val="99"/>
    <w:pPr>
      <w:ind w:firstLine="210"/>
    </w:pPr>
    <w:rPr>
      <w:lang w:eastAsia="ru-RU"/>
    </w:rPr>
  </w:style>
  <w:style w:type="character" w:customStyle="1" w:styleId="ad">
    <w:name w:val="Красная строка Знак"/>
    <w:basedOn w:val="ab"/>
    <w:link w:val="ac"/>
    <w:uiPriority w:val="99"/>
    <w:semiHidden/>
    <w:locked/>
  </w:style>
  <w:style w:type="paragraph" w:styleId="21">
    <w:name w:val="List Bullet 2"/>
    <w:basedOn w:val="a"/>
    <w:autoRedefine/>
    <w:uiPriority w:val="99"/>
    <w:pPr>
      <w:numPr>
        <w:numId w:val="1"/>
      </w:numPr>
    </w:pPr>
    <w:rPr>
      <w:lang w:eastAsia="ru-RU"/>
    </w:rPr>
  </w:style>
  <w:style w:type="paragraph" w:styleId="31">
    <w:name w:val="Body Text Indent 3"/>
    <w:basedOn w:val="a"/>
    <w:link w:val="32"/>
    <w:uiPriority w:val="99"/>
    <w:pPr>
      <w:spacing w:after="120" w:line="360" w:lineRule="atLeast"/>
      <w:ind w:left="283"/>
      <w:jc w:val="both"/>
    </w:pPr>
    <w:rPr>
      <w:rFonts w:ascii="Times New Roman CYR" w:hAnsi="Times New Roman CYR" w:cs="Times New Roman CYR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  <w:lang w:eastAsia="en-US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styleId="22">
    <w:name w:val="Body Text 2"/>
    <w:basedOn w:val="a"/>
    <w:link w:val="23"/>
    <w:uiPriority w:val="99"/>
    <w:pPr>
      <w:spacing w:line="180" w:lineRule="exact"/>
      <w:jc w:val="both"/>
    </w:pPr>
    <w:rPr>
      <w:rFonts w:ascii="Arial" w:hAnsi="Arial" w:cs="Arial"/>
      <w:b/>
      <w:bCs/>
      <w:noProof/>
      <w:sz w:val="18"/>
      <w:szCs w:val="18"/>
    </w:rPr>
  </w:style>
  <w:style w:type="character" w:customStyle="1" w:styleId="23">
    <w:name w:val="Основной текст 2 Знак"/>
    <w:basedOn w:val="a0"/>
    <w:link w:val="22"/>
    <w:uiPriority w:val="99"/>
    <w:locked/>
    <w:rPr>
      <w:rFonts w:cs="Times New Roman"/>
      <w:sz w:val="24"/>
      <w:szCs w:val="24"/>
      <w:lang w:eastAsia="en-US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paragraph" w:styleId="ae">
    <w:name w:val="annotation subject"/>
    <w:basedOn w:val="a7"/>
    <w:next w:val="a7"/>
    <w:link w:val="af"/>
    <w:uiPriority w:val="99"/>
    <w:pPr>
      <w:spacing w:line="240" w:lineRule="auto"/>
      <w:jc w:val="left"/>
    </w:pPr>
    <w:rPr>
      <w:rFonts w:ascii="Times New Roman" w:hAnsi="Times New Roman" w:cs="Times New Roman"/>
      <w:b/>
      <w:bCs/>
      <w:lang w:eastAsia="en-US"/>
    </w:rPr>
  </w:style>
  <w:style w:type="character" w:customStyle="1" w:styleId="af">
    <w:name w:val="Тема примечания Знак"/>
    <w:basedOn w:val="a8"/>
    <w:link w:val="ae"/>
    <w:uiPriority w:val="99"/>
    <w:semiHidden/>
    <w:locked/>
    <w:rPr>
      <w:b/>
      <w:bCs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HTML1">
    <w:name w:val="Пишущая машинка HTML1"/>
    <w:basedOn w:val="a0"/>
    <w:uiPriority w:val="99"/>
    <w:rPr>
      <w:rFonts w:ascii="Arial Unicode MS" w:eastAsia="Arial Unicode MS" w:cs="Arial Unicode MS"/>
      <w:sz w:val="20"/>
      <w:szCs w:val="20"/>
    </w:rPr>
  </w:style>
  <w:style w:type="character" w:styleId="af0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cs="Times New Roman"/>
      <w:sz w:val="24"/>
      <w:szCs w:val="24"/>
      <w:lang w:eastAsia="en-US"/>
    </w:rPr>
  </w:style>
  <w:style w:type="character" w:styleId="af3">
    <w:name w:val="page number"/>
    <w:basedOn w:val="a0"/>
    <w:uiPriority w:val="99"/>
    <w:rPr>
      <w:rFonts w:cs="Times New Roman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locked/>
    <w:rPr>
      <w:rFonts w:cs="Times New Roman"/>
      <w:sz w:val="24"/>
      <w:szCs w:val="24"/>
      <w:lang w:eastAsia="en-US"/>
    </w:rPr>
  </w:style>
  <w:style w:type="paragraph" w:styleId="11">
    <w:name w:val="toc 1"/>
    <w:basedOn w:val="a"/>
    <w:next w:val="a"/>
    <w:autoRedefine/>
    <w:uiPriority w:val="99"/>
    <w:rPr>
      <w:lang w:eastAsia="ru-RU"/>
    </w:rPr>
  </w:style>
  <w:style w:type="paragraph" w:styleId="24">
    <w:name w:val="Body Text Indent 2"/>
    <w:basedOn w:val="a"/>
    <w:link w:val="25"/>
    <w:uiPriority w:val="9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8" ma:contentTypeDescription="Создание документа." ma:contentTypeScope="" ma:versionID="2d110b74591ced6098a57ee04298886a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e667637da761373ee2970b63ba0b1191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format="DateOnly" ma:internalName="_x0414__x0430__x0442__x0430__x0020__x043e__x043a__x043e__x043d__x0447__x0430__x043d__x0438__x044f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018_действующая редакция</Статус_x0020_документа>
    <_EndDate xmlns="http://schemas.microsoft.com/sharepoint/v3/fields">2012-10-31T20:00:00+00:00</_EndDate>
  </documentManagement>
</p:properties>
</file>

<file path=customXml/itemProps1.xml><?xml version="1.0" encoding="utf-8"?>
<ds:datastoreItem xmlns:ds="http://schemas.openxmlformats.org/officeDocument/2006/customXml" ds:itemID="{6468C79F-6251-4664-B3FC-63C5F93CF8A8}"/>
</file>

<file path=customXml/itemProps2.xml><?xml version="1.0" encoding="utf-8"?>
<ds:datastoreItem xmlns:ds="http://schemas.openxmlformats.org/officeDocument/2006/customXml" ds:itemID="{CF6220D3-EF7A-4F29-888C-005FFF0B915E}"/>
</file>

<file path=customXml/itemProps3.xml><?xml version="1.0" encoding="utf-8"?>
<ds:datastoreItem xmlns:ds="http://schemas.openxmlformats.org/officeDocument/2006/customXml" ds:itemID="{92FB07CB-5202-428A-B45C-CAB6F1BF1F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724</Words>
  <Characters>5443</Characters>
  <Application>Microsoft Office Word</Application>
  <DocSecurity>0</DocSecurity>
  <Lines>45</Lines>
  <Paragraphs>12</Paragraphs>
  <ScaleCrop>false</ScaleCrop>
  <Company>3D</Company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ОПИФ</dc:title>
  <dc:subject/>
  <dc:creator>vanoprienko</dc:creator>
  <cp:keywords/>
  <dc:description/>
  <cp:lastModifiedBy>tulyakova</cp:lastModifiedBy>
  <cp:revision>2</cp:revision>
  <cp:lastPrinted>2012-03-19T07:26:00Z</cp:lastPrinted>
  <dcterms:created xsi:type="dcterms:W3CDTF">2012-11-02T12:46:00Z</dcterms:created>
  <dcterms:modified xsi:type="dcterms:W3CDTF">2012-11-02T12:46:00Z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ContentTypeId">
    <vt:lpwstr>0x0101000A208CA240C4E143B0AB8415F7D7A4C9</vt:lpwstr>
  </property>
</Properties>
</file>