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6E" w:rsidRPr="00EE6515" w:rsidRDefault="0086676E" w:rsidP="00EE6515">
      <w:pPr>
        <w:pStyle w:val="24"/>
        <w:spacing w:line="240" w:lineRule="exact"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E6515">
        <w:rPr>
          <w:rFonts w:asciiTheme="minorHAnsi" w:hAnsiTheme="minorHAnsi" w:cstheme="minorHAnsi"/>
          <w:b/>
          <w:bCs/>
          <w:sz w:val="18"/>
          <w:szCs w:val="18"/>
        </w:rPr>
        <w:t>ИЗМЕНЕНИЯ И ДОПОЛНЕНИЯ</w:t>
      </w:r>
      <w:r w:rsidR="000E1209" w:rsidRPr="00EE6515">
        <w:rPr>
          <w:rFonts w:asciiTheme="minorHAnsi" w:hAnsiTheme="minorHAnsi" w:cstheme="minorHAnsi"/>
          <w:b/>
          <w:bCs/>
          <w:sz w:val="18"/>
          <w:szCs w:val="18"/>
        </w:rPr>
        <w:t xml:space="preserve"> №</w:t>
      </w:r>
      <w:r w:rsidR="00DE75D1" w:rsidRPr="00EE6515">
        <w:rPr>
          <w:rFonts w:asciiTheme="minorHAnsi" w:hAnsiTheme="minorHAnsi" w:cstheme="minorHAnsi"/>
          <w:b/>
          <w:bCs/>
          <w:sz w:val="18"/>
          <w:szCs w:val="18"/>
        </w:rPr>
        <w:t>43</w:t>
      </w:r>
    </w:p>
    <w:p w:rsidR="0086676E" w:rsidRPr="00EE6515" w:rsidRDefault="0086676E" w:rsidP="00EE6515">
      <w:pPr>
        <w:pStyle w:val="24"/>
        <w:spacing w:line="240" w:lineRule="exact"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E6515">
        <w:rPr>
          <w:rFonts w:asciiTheme="minorHAnsi" w:hAnsiTheme="minorHAnsi" w:cstheme="minorHAnsi"/>
          <w:b/>
          <w:bCs/>
          <w:sz w:val="18"/>
          <w:szCs w:val="18"/>
        </w:rPr>
        <w:t>ПРАВИЛА ДОВЕРИТЕЛЬНОГО УПРАВЛЕНИЯ</w:t>
      </w:r>
    </w:p>
    <w:p w:rsidR="0086676E" w:rsidRPr="00EE6515" w:rsidRDefault="0086676E" w:rsidP="00EE6515">
      <w:pPr>
        <w:pStyle w:val="24"/>
        <w:spacing w:line="240" w:lineRule="exact"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E6515">
        <w:rPr>
          <w:rFonts w:asciiTheme="minorHAnsi" w:hAnsiTheme="minorHAnsi" w:cstheme="minorHAnsi"/>
          <w:b/>
          <w:bCs/>
          <w:sz w:val="18"/>
          <w:szCs w:val="18"/>
        </w:rPr>
        <w:t>ОТКРЫТЫМ ПАЕВЫМ ИНВЕСТИЦИОННЫМ ФОНДОМ ОБЛИГАЦИЙ</w:t>
      </w:r>
    </w:p>
    <w:p w:rsidR="0086676E" w:rsidRPr="00EE6515" w:rsidRDefault="0086676E" w:rsidP="00EE6515">
      <w:pPr>
        <w:pStyle w:val="24"/>
        <w:spacing w:line="240" w:lineRule="exact"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E6515">
        <w:rPr>
          <w:rFonts w:asciiTheme="minorHAnsi" w:hAnsiTheme="minorHAnsi" w:cstheme="minorHAnsi"/>
          <w:b/>
          <w:bCs/>
          <w:sz w:val="18"/>
          <w:szCs w:val="18"/>
        </w:rPr>
        <w:t>«ТРОЙКА ДИАЛОГ – ИЛЬЯ МУРОМЕЦ»</w:t>
      </w:r>
    </w:p>
    <w:p w:rsidR="0086676E" w:rsidRPr="00EE6515" w:rsidRDefault="0086676E" w:rsidP="00EE6515">
      <w:pPr>
        <w:spacing w:after="120" w:line="240" w:lineRule="exact"/>
        <w:jc w:val="center"/>
        <w:rPr>
          <w:rFonts w:asciiTheme="minorHAnsi" w:hAnsiTheme="minorHAnsi" w:cstheme="minorHAnsi"/>
          <w:sz w:val="18"/>
          <w:szCs w:val="18"/>
        </w:rPr>
      </w:pPr>
      <w:r w:rsidRPr="00EE6515">
        <w:rPr>
          <w:rFonts w:asciiTheme="minorHAnsi" w:hAnsiTheme="minorHAnsi" w:cstheme="minorHAnsi"/>
          <w:sz w:val="18"/>
          <w:szCs w:val="18"/>
        </w:rPr>
        <w:t>(Правила доверительного управления фондом зарегистрированы</w:t>
      </w:r>
    </w:p>
    <w:p w:rsidR="0086676E" w:rsidRPr="00EE6515" w:rsidRDefault="0086676E" w:rsidP="00EE6515">
      <w:pPr>
        <w:spacing w:after="120" w:line="240" w:lineRule="exact"/>
        <w:jc w:val="center"/>
        <w:rPr>
          <w:rFonts w:asciiTheme="minorHAnsi" w:hAnsiTheme="minorHAnsi" w:cstheme="minorHAnsi"/>
          <w:sz w:val="18"/>
          <w:szCs w:val="18"/>
        </w:rPr>
      </w:pPr>
      <w:r w:rsidRPr="00EE6515">
        <w:rPr>
          <w:rFonts w:asciiTheme="minorHAnsi" w:hAnsiTheme="minorHAnsi" w:cstheme="minorHAnsi"/>
          <w:sz w:val="18"/>
          <w:szCs w:val="18"/>
        </w:rPr>
        <w:t>18 декабря 1996 года за №0007-451414428)</w:t>
      </w:r>
    </w:p>
    <w:tbl>
      <w:tblPr>
        <w:tblW w:w="5154" w:type="pct"/>
        <w:tblInd w:w="-318" w:type="dxa"/>
        <w:tblLook w:val="0000"/>
      </w:tblPr>
      <w:tblGrid>
        <w:gridCol w:w="5245"/>
        <w:gridCol w:w="5368"/>
      </w:tblGrid>
      <w:tr w:rsidR="00D85D32" w:rsidRPr="00EE6515" w:rsidTr="00F20F21"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EE6515" w:rsidRDefault="00D85D32" w:rsidP="00EE6515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EE6515" w:rsidRDefault="00D85D32" w:rsidP="00EE6515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9F6C75" w:rsidRPr="00EE6515" w:rsidTr="00F2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</w:tcPr>
          <w:p w:rsidR="00DE75D1" w:rsidRPr="00EE6515" w:rsidRDefault="00DE75D1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DE75D1" w:rsidRPr="00EE6515" w:rsidRDefault="00DE75D1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DE75D1" w:rsidRPr="00EE6515" w:rsidRDefault="00DE75D1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«Барклайс Банк».</w:t>
            </w:r>
          </w:p>
          <w:p w:rsidR="00DE75D1" w:rsidRPr="00EE6515" w:rsidRDefault="00DE75D1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DE75D1" w:rsidRPr="00EE6515" w:rsidRDefault="00DE75D1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9F6C75" w:rsidRPr="00EE6515" w:rsidRDefault="00DE75D1" w:rsidP="00EE6515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  <w:tc>
          <w:tcPr>
            <w:tcW w:w="2529" w:type="pct"/>
          </w:tcPr>
          <w:p w:rsidR="00DE75D1" w:rsidRPr="00EE6515" w:rsidRDefault="00DE75D1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DE75D1" w:rsidRPr="00EE6515" w:rsidRDefault="00DE75D1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DE75D1" w:rsidRPr="00EE6515" w:rsidRDefault="00DE75D1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«Экспобанк».</w:t>
            </w:r>
          </w:p>
          <w:p w:rsidR="00DE75D1" w:rsidRPr="00EE6515" w:rsidRDefault="00DE75D1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DE75D1" w:rsidRPr="00EE6515" w:rsidRDefault="00DE75D1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9F6C75" w:rsidRPr="00EE6515" w:rsidRDefault="00DE75D1" w:rsidP="00EE6515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</w:tr>
      <w:tr w:rsidR="006C4AE6" w:rsidRPr="00EE6515" w:rsidTr="00F2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</w:tcPr>
          <w:p w:rsidR="00DE75D1" w:rsidRPr="00EE6515" w:rsidRDefault="00DE75D1" w:rsidP="00EE6515">
            <w:pPr>
              <w:pStyle w:val="ConsNonformat"/>
              <w:widowControl/>
              <w:spacing w:after="120"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65.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DE75D1" w:rsidRPr="00EE6515" w:rsidRDefault="00DE75D1" w:rsidP="00EE6515">
            <w:pPr>
              <w:pStyle w:val="ConsNonformat"/>
              <w:widowControl/>
              <w:spacing w:after="120"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DE75D1" w:rsidRPr="00EE6515" w:rsidRDefault="00DE75D1" w:rsidP="00EE6515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DE75D1" w:rsidRPr="00EE6515" w:rsidRDefault="00DE75D1" w:rsidP="00EE6515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DE75D1" w:rsidRPr="00EE6515" w:rsidRDefault="00DE75D1" w:rsidP="00EE6515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E75D1" w:rsidRPr="00EE6515" w:rsidRDefault="00DE75D1" w:rsidP="00EE6515">
            <w:pPr>
              <w:pStyle w:val="aa"/>
              <w:spacing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агенту Общество с ограниченной ответственностью «</w:t>
            </w:r>
            <w:r w:rsidRPr="00EE6515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Барклайс Банк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 составляет:</w:t>
            </w:r>
          </w:p>
          <w:p w:rsidR="00DE75D1" w:rsidRPr="00EE6515" w:rsidRDefault="00DE75D1" w:rsidP="00EE651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500 000 (пятисот тысяч)   рублей: 1,5 % (одна целая пять десятых процента), включая НДС, от расчетной стоимости Инвестиционного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EE6515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Барклайс Банк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»;</w:t>
            </w:r>
          </w:p>
          <w:p w:rsidR="00DE75D1" w:rsidRPr="00EE6515" w:rsidRDefault="00DE75D1" w:rsidP="00EE651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500 000 (пятьсот тысяч) 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заявке, поданной агенту 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EE6515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Барклайс Банк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»;</w:t>
            </w:r>
          </w:p>
          <w:p w:rsidR="00DE75D1" w:rsidRPr="00EE6515" w:rsidRDefault="00DE75D1" w:rsidP="00EE651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EE6515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Барклайс Банк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».</w:t>
            </w:r>
          </w:p>
          <w:p w:rsidR="00DE75D1" w:rsidRPr="00EE6515" w:rsidRDefault="00DE75D1" w:rsidP="00EE6515">
            <w:pPr>
              <w:pStyle w:val="ConsNonformat"/>
              <w:widowControl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DE75D1" w:rsidRPr="00EE6515" w:rsidRDefault="00DE75D1" w:rsidP="00EE6515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DE75D1" w:rsidRPr="00EE6515" w:rsidRDefault="00DE75D1" w:rsidP="00EE6515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DE75D1" w:rsidRPr="00EE6515" w:rsidRDefault="00DE75D1" w:rsidP="00EE6515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E75D1" w:rsidRPr="00EE6515" w:rsidRDefault="00DE75D1" w:rsidP="00EE651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общество), </w:t>
            </w:r>
            <w:r w:rsidRPr="00EE6515">
              <w:rPr>
                <w:rFonts w:asciiTheme="minorHAnsi" w:hAnsiTheme="minorHAnsi" w:cstheme="minorHAnsi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DE75D1" w:rsidRPr="00EE6515" w:rsidRDefault="00DE75D1" w:rsidP="00EE651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DE75D1" w:rsidRPr="00EE6515" w:rsidRDefault="00DE75D1" w:rsidP="00EE651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 100 000 (ста тысяч) рублей включительно до 1 000 000 (одного миллиона) рублей: 1,25% (одна целая двадцать пять сотых процента), включая НДС, от расчетной стоимости инвестиционного пая;</w:t>
            </w:r>
          </w:p>
          <w:p w:rsidR="00DE75D1" w:rsidRPr="00EE6515" w:rsidRDefault="00DE75D1" w:rsidP="00EE6515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  <w:p w:rsidR="00DE75D1" w:rsidRPr="00EE6515" w:rsidRDefault="00DE75D1" w:rsidP="00EE651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агенту О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ткрытое акционерное общество «Сбербанк России»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составляет 0,6% (ноль целых шесть десятых процента), включая НДС, от расчетной стоимости Инвестиционного пая.</w:t>
            </w:r>
          </w:p>
          <w:p w:rsidR="006C4AE6" w:rsidRPr="00EE6515" w:rsidRDefault="006C4AE6" w:rsidP="00EE65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29" w:type="pct"/>
          </w:tcPr>
          <w:p w:rsidR="00C93780" w:rsidRPr="00EE6515" w:rsidRDefault="00C93780" w:rsidP="00EE6515">
            <w:pPr>
              <w:pStyle w:val="ConsNonformat"/>
              <w:widowControl/>
              <w:spacing w:after="120"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65.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Агентам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, за исключением приобретения по заявкам, поданным агенту Закрытому акционерному обществу коммерческому банку “Ситибанк”, Обществу с ограниченной ответственностью «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», Закрытому акционерному обществу «Банк Интеза», </w:t>
            </w:r>
            <w:r w:rsidRPr="00EE65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АКБ «РОСБАНК» (открытое акционерное общество),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составляет 0,6% (ноль целых шесть десятых процента), включая НДС, от расчетной стоимости инвестиционного пая.</w:t>
            </w:r>
          </w:p>
          <w:p w:rsidR="00C93780" w:rsidRPr="00EE6515" w:rsidRDefault="00C93780" w:rsidP="00EE6515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</w:pPr>
            <w:r w:rsidRPr="00EE6515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C93780" w:rsidRPr="00EE6515" w:rsidRDefault="00C93780" w:rsidP="00EE6515">
            <w:pPr>
              <w:pStyle w:val="ConsNonformat"/>
              <w:widowControl/>
              <w:spacing w:after="120"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C93780" w:rsidRPr="00EE6515" w:rsidRDefault="00C93780" w:rsidP="00EE6515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C93780" w:rsidRPr="00EE6515" w:rsidRDefault="00C93780" w:rsidP="00EE6515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C93780" w:rsidRPr="00EE6515" w:rsidRDefault="00C93780" w:rsidP="00EE6515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93780" w:rsidRPr="00EE6515" w:rsidRDefault="00C93780" w:rsidP="00EE6515">
            <w:pPr>
              <w:pStyle w:val="aa"/>
              <w:spacing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lastRenderedPageBreak/>
              <w:t>агенту Общество с ограниченной ответственностью «</w:t>
            </w:r>
            <w:r w:rsidRPr="00EE6515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Экспобанк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 составляет:</w:t>
            </w:r>
          </w:p>
          <w:p w:rsidR="00C93780" w:rsidRPr="00EE6515" w:rsidRDefault="00C93780" w:rsidP="00EE651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500 000 (пятисот тысяч)   рублей: 1,5 % (одна целая пять десятых процента), включая НДС, от расчетной стоимости Инвестиционного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EE6515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Экспобанк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»;</w:t>
            </w:r>
          </w:p>
          <w:p w:rsidR="00C93780" w:rsidRPr="00EE6515" w:rsidRDefault="00C93780" w:rsidP="00EE651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500 000 (пятьсот тысяч) 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EE6515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Экспобанк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»;</w:t>
            </w:r>
          </w:p>
          <w:p w:rsidR="00C93780" w:rsidRPr="00EE6515" w:rsidRDefault="00C93780" w:rsidP="00EE651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EE6515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Экспобанк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».</w:t>
            </w:r>
          </w:p>
          <w:p w:rsidR="00C93780" w:rsidRPr="00EE6515" w:rsidRDefault="00C93780" w:rsidP="00EE6515">
            <w:pPr>
              <w:pStyle w:val="ConsNonformat"/>
              <w:widowControl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EE6515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C93780" w:rsidRPr="00EE6515" w:rsidRDefault="00C93780" w:rsidP="00EE6515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C93780" w:rsidRPr="00EE6515" w:rsidRDefault="00C93780" w:rsidP="00EE6515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C93780" w:rsidRPr="00EE6515" w:rsidRDefault="00C93780" w:rsidP="00EE6515">
            <w:pPr>
              <w:pStyle w:val="aa"/>
              <w:spacing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EE6515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93780" w:rsidRPr="00EE6515" w:rsidRDefault="00C93780" w:rsidP="00EE651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общество), </w:t>
            </w:r>
            <w:r w:rsidRPr="00EE6515">
              <w:rPr>
                <w:rFonts w:asciiTheme="minorHAnsi" w:hAnsiTheme="minorHAnsi" w:cstheme="minorHAnsi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C93780" w:rsidRPr="00EE6515" w:rsidRDefault="00C93780" w:rsidP="00EE651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C93780" w:rsidRPr="00EE6515" w:rsidRDefault="00C93780" w:rsidP="00EE651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 100 000 (ста тысяч) рублей включительно до 1 000 000 (одного миллиона) рублей: 1,25% (одна целая двадцать пять сотых процента), включая НДС, от расчетной стоимости инвестиционного пая;</w:t>
            </w:r>
          </w:p>
          <w:p w:rsidR="006C4AE6" w:rsidRPr="00EE6515" w:rsidRDefault="00C93780" w:rsidP="00EE6515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</w:tc>
      </w:tr>
      <w:tr w:rsidR="00862607" w:rsidRPr="00EE6515" w:rsidTr="00F2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</w:tcPr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 xml:space="preserve">Закрытого акционерного общества «Банк Интеза»,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lastRenderedPageBreak/>
              <w:t>Общества с ограниченной ответственностью «Барклайс Банк».</w:t>
            </w:r>
          </w:p>
          <w:p w:rsidR="00C93780" w:rsidRPr="00EE6515" w:rsidRDefault="00C93780" w:rsidP="00EE6515">
            <w:pPr>
              <w:tabs>
                <w:tab w:val="num" w:pos="540"/>
              </w:tabs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C93780" w:rsidRPr="00EE6515" w:rsidRDefault="00C93780" w:rsidP="00EE6515">
            <w:pPr>
              <w:autoSpaceDE w:val="0"/>
              <w:autoSpaceDN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- в Управляющую компанию;</w:t>
            </w:r>
          </w:p>
          <w:p w:rsidR="00862607" w:rsidRPr="00EE6515" w:rsidRDefault="00C93780" w:rsidP="00EE6515">
            <w:pPr>
              <w:spacing w:after="120" w:line="240" w:lineRule="exact"/>
              <w:ind w:firstLine="720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- Агентам.</w:t>
            </w:r>
          </w:p>
        </w:tc>
        <w:tc>
          <w:tcPr>
            <w:tcW w:w="2529" w:type="pct"/>
          </w:tcPr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 xml:space="preserve">Закрытого акционерного общества «Банк Интеза»,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lastRenderedPageBreak/>
              <w:t>Общества с ограниченной ответственностью «Экспобанк».</w:t>
            </w:r>
          </w:p>
          <w:p w:rsidR="00C93780" w:rsidRPr="00EE6515" w:rsidRDefault="00C93780" w:rsidP="00EE6515">
            <w:pPr>
              <w:tabs>
                <w:tab w:val="num" w:pos="540"/>
              </w:tabs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C93780" w:rsidRPr="00EE6515" w:rsidRDefault="00C93780" w:rsidP="00EE6515">
            <w:pPr>
              <w:autoSpaceDE w:val="0"/>
              <w:autoSpaceDN w:val="0"/>
              <w:spacing w:after="120" w:line="240" w:lineRule="exact"/>
              <w:ind w:right="76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- в Управляющую компанию;</w:t>
            </w:r>
          </w:p>
          <w:p w:rsidR="00862607" w:rsidRPr="00EE6515" w:rsidRDefault="00C93780" w:rsidP="00EE6515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- Агентам.</w:t>
            </w:r>
          </w:p>
        </w:tc>
      </w:tr>
      <w:tr w:rsidR="00862607" w:rsidRPr="00EE6515" w:rsidTr="00F2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</w:tcPr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78.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«</w:t>
            </w:r>
            <w:r w:rsidRPr="00EE651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», расчетная стоимость Инвестиционного пая уменьшается на скидку в размере 0,5 % (ноль целых пять десятых процента), включая НДС, от расчетной стоимости Инвестиционного пая.</w:t>
            </w:r>
          </w:p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</w:t>
            </w:r>
            <w:r w:rsidRPr="00EE65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C93780" w:rsidRPr="00EE6515" w:rsidRDefault="00C93780" w:rsidP="00EE65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862607" w:rsidRPr="00EE6515" w:rsidRDefault="00C93780" w:rsidP="00EE6515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  <w:tc>
          <w:tcPr>
            <w:tcW w:w="2529" w:type="pct"/>
          </w:tcPr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78.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«</w:t>
            </w:r>
            <w:r w:rsidRPr="00EE651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ru-RU"/>
              </w:rPr>
              <w:t>Экспобанк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», расчетная стоимость Инвестиционного пая уменьшается на скидку в размере 0,5 % (ноль целых пять десятых процента), включая НДС, от расчетной стоимости Инвестиционного пая.</w:t>
            </w:r>
          </w:p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C93780" w:rsidRPr="00EE6515" w:rsidRDefault="00C93780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</w:t>
            </w:r>
            <w:r w:rsidRPr="00EE65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C93780" w:rsidRPr="00EE6515" w:rsidRDefault="00C93780" w:rsidP="00EE65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9555A1" w:rsidRPr="00EE6515" w:rsidRDefault="00C93780" w:rsidP="00EE6515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</w:tr>
      <w:tr w:rsidR="00EF1DBA" w:rsidRPr="00EE6515" w:rsidTr="00F2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</w:tcPr>
          <w:p w:rsidR="00C93780" w:rsidRPr="00EE6515" w:rsidRDefault="00C93780" w:rsidP="00EE6515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84.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C93780" w:rsidRPr="00EE6515" w:rsidRDefault="00C93780" w:rsidP="00EE651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C93780" w:rsidRPr="00EE6515" w:rsidRDefault="00C93780" w:rsidP="00EE651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C93780" w:rsidRPr="00EE6515" w:rsidRDefault="00C93780" w:rsidP="00EE651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C93780" w:rsidRPr="00EE6515" w:rsidRDefault="00C93780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EE6515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Нефтегазовый сектор”;</w:t>
            </w:r>
          </w:p>
          <w:p w:rsidR="00C93780" w:rsidRPr="00EE6515" w:rsidRDefault="00C93780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EE6515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Финансовый сектор”;</w:t>
            </w:r>
          </w:p>
          <w:p w:rsidR="00C93780" w:rsidRPr="00EE6515" w:rsidRDefault="00C93780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EE6515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Телекоммуникации”;</w:t>
            </w:r>
          </w:p>
          <w:p w:rsidR="00C93780" w:rsidRPr="00EE6515" w:rsidRDefault="00C93780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EE6515">
              <w:rPr>
                <w:rFonts w:asciiTheme="minorHAnsi" w:hAnsiTheme="minorHAnsi" w:cstheme="minorHAnsi"/>
                <w:b w:val="0"/>
              </w:rPr>
              <w:t xml:space="preserve">Открытого паевого инвестиционного фонда акций </w:t>
            </w:r>
            <w:r w:rsidRPr="00EE6515">
              <w:rPr>
                <w:rFonts w:asciiTheme="minorHAnsi" w:hAnsiTheme="minorHAnsi" w:cstheme="minorHAnsi"/>
                <w:b w:val="0"/>
              </w:rPr>
              <w:lastRenderedPageBreak/>
              <w:t>“Тройка Диалог – Металлургия”;</w:t>
            </w:r>
          </w:p>
          <w:p w:rsidR="00C93780" w:rsidRPr="00EE6515" w:rsidRDefault="00C93780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EE6515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Электроэнергетика”;</w:t>
            </w:r>
          </w:p>
          <w:p w:rsidR="00C93780" w:rsidRPr="00EE6515" w:rsidRDefault="00C93780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EE6515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C93780" w:rsidRPr="00EE6515" w:rsidRDefault="00C93780" w:rsidP="00EE651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“Тройка Диалог – Фонд денежного рынка”;</w:t>
            </w:r>
          </w:p>
          <w:p w:rsidR="00C93780" w:rsidRPr="00EE6515" w:rsidRDefault="00C93780" w:rsidP="00EE651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БРИК»;</w:t>
            </w:r>
          </w:p>
          <w:p w:rsidR="00C93780" w:rsidRPr="00EE6515" w:rsidRDefault="00C93780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EE6515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Потенциал”;</w:t>
            </w:r>
          </w:p>
          <w:p w:rsidR="00C93780" w:rsidRPr="00EE6515" w:rsidRDefault="00C93780" w:rsidP="00EE651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C93780" w:rsidRPr="00EE6515" w:rsidRDefault="00C93780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EE6515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Инфраструктура”;</w:t>
            </w:r>
          </w:p>
          <w:p w:rsidR="00C93780" w:rsidRPr="00EE6515" w:rsidRDefault="00C93780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EE6515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C93780" w:rsidRPr="00EE6515" w:rsidRDefault="00C93780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EE6515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Агросектор”;</w:t>
            </w:r>
          </w:p>
          <w:p w:rsidR="00C93780" w:rsidRPr="00EE6515" w:rsidRDefault="00C93780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EE6515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Глобальный Интернет;</w:t>
            </w:r>
          </w:p>
          <w:p w:rsidR="00EF1DBA" w:rsidRPr="00EE6515" w:rsidRDefault="00C93780" w:rsidP="00EE651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  <w:tc>
          <w:tcPr>
            <w:tcW w:w="2529" w:type="pct"/>
          </w:tcPr>
          <w:p w:rsidR="00EE6515" w:rsidRPr="00EE6515" w:rsidRDefault="00EE6515" w:rsidP="00EE6515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84.</w:t>
            </w: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EE6515" w:rsidRPr="00EE6515" w:rsidRDefault="00EE6515" w:rsidP="00EE651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EE6515" w:rsidRPr="00EE6515" w:rsidRDefault="00EE6515" w:rsidP="00EE651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EE6515" w:rsidRPr="00EE6515" w:rsidRDefault="00EE6515" w:rsidP="00EE651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EE6515" w:rsidRPr="00EE6515" w:rsidRDefault="00EE6515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EE6515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Нефтегазовый сектор”;</w:t>
            </w:r>
          </w:p>
          <w:p w:rsidR="00EE6515" w:rsidRPr="00EE6515" w:rsidRDefault="00EE6515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EE6515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Финансовый сектор”;</w:t>
            </w:r>
          </w:p>
          <w:p w:rsidR="00EE6515" w:rsidRPr="00EE6515" w:rsidRDefault="00EE6515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EE6515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Телекоммуникации”;</w:t>
            </w:r>
          </w:p>
          <w:p w:rsidR="00EE6515" w:rsidRPr="00EE6515" w:rsidRDefault="00EE6515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EE6515">
              <w:rPr>
                <w:rFonts w:asciiTheme="minorHAnsi" w:hAnsiTheme="minorHAnsi" w:cstheme="minorHAnsi"/>
                <w:b w:val="0"/>
              </w:rPr>
              <w:t xml:space="preserve">Открытого паевого инвестиционного фонда акций </w:t>
            </w:r>
            <w:r w:rsidRPr="00EE6515">
              <w:rPr>
                <w:rFonts w:asciiTheme="minorHAnsi" w:hAnsiTheme="minorHAnsi" w:cstheme="minorHAnsi"/>
                <w:b w:val="0"/>
              </w:rPr>
              <w:lastRenderedPageBreak/>
              <w:t>“Тройка Диалог – Металлургия”;</w:t>
            </w:r>
          </w:p>
          <w:p w:rsidR="00EE6515" w:rsidRPr="00EE6515" w:rsidRDefault="00EE6515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EE6515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Электроэнергетика”;</w:t>
            </w:r>
          </w:p>
          <w:p w:rsidR="00EE6515" w:rsidRPr="00EE6515" w:rsidRDefault="00EE6515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EE6515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EE6515" w:rsidRPr="00EE6515" w:rsidRDefault="00EE6515" w:rsidP="00EE651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“Тройка Диалог – Фонд денежного рынка”;</w:t>
            </w:r>
          </w:p>
          <w:p w:rsidR="00EE6515" w:rsidRPr="00EE6515" w:rsidRDefault="00EE6515" w:rsidP="00EE651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БРИК»;</w:t>
            </w:r>
          </w:p>
          <w:p w:rsidR="00EE6515" w:rsidRPr="00EE6515" w:rsidRDefault="00EE6515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EE6515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Потенциал”;</w:t>
            </w:r>
          </w:p>
          <w:p w:rsidR="00EE6515" w:rsidRPr="00EE6515" w:rsidRDefault="00EE6515" w:rsidP="00EE6515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EE6515" w:rsidRPr="00EE6515" w:rsidRDefault="00EE6515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EE6515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EE6515" w:rsidRPr="00EE6515" w:rsidRDefault="00EE6515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Cs w:val="0"/>
              </w:rPr>
            </w:pPr>
            <w:r w:rsidRPr="00EE6515">
              <w:rPr>
                <w:rFonts w:asciiTheme="minorHAnsi" w:hAnsiTheme="minorHAnsi" w:cstheme="minorHAnsi"/>
                <w:bCs w:val="0"/>
              </w:rPr>
              <w:t>Открытого паевого инвестиционного фонда акций “Тройка Диалог – Фонд активного управления”;</w:t>
            </w:r>
          </w:p>
          <w:p w:rsidR="00EE6515" w:rsidRPr="00EE6515" w:rsidRDefault="00EE6515" w:rsidP="00EE6515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EE6515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Глобальный Интернет;</w:t>
            </w:r>
          </w:p>
          <w:p w:rsidR="00EE6515" w:rsidRPr="00EE6515" w:rsidRDefault="00EE6515" w:rsidP="00EE6515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EF1DBA" w:rsidRPr="00EE6515" w:rsidRDefault="00EF1DBA" w:rsidP="00EE651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62607" w:rsidRPr="00EE6515" w:rsidTr="00F2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1" w:type="pct"/>
          </w:tcPr>
          <w:p w:rsidR="00EE6515" w:rsidRPr="00EE6515" w:rsidRDefault="00EE6515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88.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EE6515" w:rsidRPr="00EE6515" w:rsidRDefault="00EE6515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EE6515" w:rsidRPr="00EE6515" w:rsidRDefault="00EE6515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«Барклайс Банк».</w:t>
            </w:r>
          </w:p>
          <w:p w:rsidR="00EE6515" w:rsidRPr="00EE6515" w:rsidRDefault="00EE6515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EE6515" w:rsidRPr="00EE6515" w:rsidRDefault="00EE6515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EE6515" w:rsidRPr="00EE6515" w:rsidRDefault="00EE6515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862607" w:rsidRPr="00EE6515" w:rsidRDefault="00EE6515" w:rsidP="00EE651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  <w:tc>
          <w:tcPr>
            <w:tcW w:w="2529" w:type="pct"/>
          </w:tcPr>
          <w:p w:rsidR="00EE6515" w:rsidRPr="00EE6515" w:rsidRDefault="00EE6515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88.</w:t>
            </w: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EE6515" w:rsidRPr="00EE6515" w:rsidRDefault="00EE6515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EE6515" w:rsidRPr="00EE6515" w:rsidRDefault="00EE6515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EE651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«Экспобанк».</w:t>
            </w:r>
          </w:p>
          <w:p w:rsidR="00EE6515" w:rsidRPr="00EE6515" w:rsidRDefault="00EE6515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EE6515" w:rsidRPr="00EE6515" w:rsidRDefault="00EE6515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EE6515" w:rsidRPr="00EE6515" w:rsidRDefault="00EE6515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862607" w:rsidRPr="00EE6515" w:rsidRDefault="00EE6515" w:rsidP="00EE651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E651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</w:tr>
    </w:tbl>
    <w:p w:rsidR="00EF1DBA" w:rsidRPr="00EE6515" w:rsidRDefault="00EF1DBA" w:rsidP="00EE6515">
      <w:pPr>
        <w:spacing w:after="120" w:line="240" w:lineRule="exac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EE6515">
        <w:rPr>
          <w:rFonts w:asciiTheme="minorHAnsi" w:hAnsiTheme="minorHAnsi" w:cstheme="minorHAnsi"/>
          <w:b/>
          <w:bCs/>
          <w:i/>
          <w:iCs/>
          <w:sz w:val="18"/>
          <w:szCs w:val="18"/>
        </w:rPr>
        <w:t>Директор</w:t>
      </w:r>
    </w:p>
    <w:p w:rsidR="00EF1DBA" w:rsidRPr="00EE6515" w:rsidRDefault="00EF1DBA" w:rsidP="00EE6515">
      <w:pPr>
        <w:spacing w:after="120" w:line="240" w:lineRule="exac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EE6515">
        <w:rPr>
          <w:rFonts w:asciiTheme="minorHAnsi" w:hAnsiTheme="minorHAnsi" w:cstheme="minorHAnsi"/>
          <w:b/>
          <w:bCs/>
          <w:i/>
          <w:iCs/>
          <w:sz w:val="18"/>
          <w:szCs w:val="18"/>
        </w:rPr>
        <w:t>Отдела по структурированию и поддержке фондов</w:t>
      </w:r>
    </w:p>
    <w:p w:rsidR="00EF1DBA" w:rsidRPr="00EE6515" w:rsidRDefault="00EF1DBA" w:rsidP="00EE6515">
      <w:pPr>
        <w:spacing w:after="120" w:line="240" w:lineRule="exac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EE6515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EF1DBA" w:rsidRPr="00EE6515" w:rsidRDefault="00EF1DBA" w:rsidP="00EE6515">
      <w:pPr>
        <w:pStyle w:val="fieldcomment"/>
        <w:spacing w:before="0" w:after="120" w:line="240" w:lineRule="exact"/>
        <w:rPr>
          <w:rFonts w:asciiTheme="minorHAnsi" w:hAnsiTheme="minorHAnsi" w:cstheme="minorHAnsi"/>
          <w:b/>
          <w:bCs/>
          <w:i/>
          <w:iCs/>
          <w:sz w:val="18"/>
          <w:szCs w:val="18"/>
          <w:lang w:val="ru-RU"/>
        </w:rPr>
      </w:pPr>
      <w:r w:rsidRPr="00EE6515">
        <w:rPr>
          <w:rFonts w:asciiTheme="minorHAnsi" w:hAnsiTheme="minorHAnsi" w:cstheme="minorHAnsi"/>
          <w:b/>
          <w:bCs/>
          <w:i/>
          <w:iCs/>
          <w:sz w:val="18"/>
          <w:szCs w:val="18"/>
          <w:lang w:val="ru-RU"/>
        </w:rPr>
        <w:t xml:space="preserve">«Управляющая компания «Тройка Диалог»                                                                      </w:t>
      </w:r>
      <w:r w:rsidRPr="00EE6515">
        <w:rPr>
          <w:rFonts w:asciiTheme="minorHAnsi" w:hAnsiTheme="minorHAnsi" w:cstheme="minorHAnsi"/>
          <w:b/>
          <w:bCs/>
          <w:i/>
          <w:iCs/>
          <w:sz w:val="18"/>
          <w:szCs w:val="18"/>
          <w:lang w:val="ru-RU"/>
        </w:rPr>
        <w:tab/>
        <w:t xml:space="preserve">                            В.А. Илларионов</w:t>
      </w:r>
    </w:p>
    <w:p w:rsidR="006C71D4" w:rsidRPr="00EE6515" w:rsidRDefault="006C71D4" w:rsidP="00EE6515">
      <w:pPr>
        <w:spacing w:after="120" w:line="240" w:lineRule="exact"/>
        <w:rPr>
          <w:rFonts w:asciiTheme="minorHAnsi" w:hAnsiTheme="minorHAnsi" w:cstheme="minorHAnsi"/>
          <w:sz w:val="18"/>
          <w:szCs w:val="18"/>
        </w:rPr>
      </w:pPr>
    </w:p>
    <w:sectPr w:rsidR="006C71D4" w:rsidRPr="00EE6515" w:rsidSect="00937F66">
      <w:footerReference w:type="default" r:id="rId11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6E" w:rsidRDefault="005F146E">
      <w:r>
        <w:separator/>
      </w:r>
    </w:p>
  </w:endnote>
  <w:endnote w:type="continuationSeparator" w:id="0">
    <w:p w:rsidR="005F146E" w:rsidRDefault="005F1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E41895">
      <w:rPr>
        <w:rStyle w:val="af3"/>
        <w:rFonts w:ascii="Arial" w:hAnsi="Arial" w:cs="Arial"/>
        <w:i/>
        <w:iCs/>
        <w:noProof/>
        <w:sz w:val="14"/>
        <w:szCs w:val="14"/>
      </w:rPr>
      <w:t>4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EE6515">
      <w:rPr>
        <w:rStyle w:val="af3"/>
        <w:rFonts w:ascii="Arial" w:hAnsi="Arial" w:cs="Arial"/>
        <w:i/>
        <w:iCs/>
        <w:sz w:val="14"/>
        <w:szCs w:val="14"/>
      </w:rPr>
      <w:t>4</w:t>
    </w:r>
  </w:p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="00925395">
      <w:rPr>
        <w:rFonts w:ascii="Arial" w:hAnsi="Arial" w:cs="Arial"/>
        <w:i/>
        <w:iCs/>
        <w:sz w:val="14"/>
        <w:szCs w:val="14"/>
      </w:rPr>
      <w:t>облигаций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</w:t>
    </w:r>
    <w:r w:rsidR="00925395">
      <w:rPr>
        <w:rFonts w:ascii="Arial" w:hAnsi="Arial" w:cs="Arial"/>
        <w:i/>
        <w:iCs/>
        <w:sz w:val="14"/>
        <w:szCs w:val="14"/>
      </w:rPr>
      <w:t>Илья Муромец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6E" w:rsidRDefault="005F146E">
      <w:r>
        <w:separator/>
      </w:r>
    </w:p>
  </w:footnote>
  <w:footnote w:type="continuationSeparator" w:id="0">
    <w:p w:rsidR="005F146E" w:rsidRDefault="005F1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9FD0AFA"/>
    <w:multiLevelType w:val="hybridMultilevel"/>
    <w:tmpl w:val="6226A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D2C4E77"/>
    <w:multiLevelType w:val="hybridMultilevel"/>
    <w:tmpl w:val="E10E53C8"/>
    <w:lvl w:ilvl="0" w:tplc="DF80CB7C">
      <w:numFmt w:val="bullet"/>
      <w:lvlText w:val=""/>
      <w:lvlJc w:val="left"/>
      <w:pPr>
        <w:tabs>
          <w:tab w:val="num" w:pos="1440"/>
        </w:tabs>
        <w:ind w:left="1440" w:hanging="90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4CDF"/>
    <w:rsid w:val="00025DE9"/>
    <w:rsid w:val="000378DD"/>
    <w:rsid w:val="0004469D"/>
    <w:rsid w:val="000532BF"/>
    <w:rsid w:val="000759BF"/>
    <w:rsid w:val="000A7029"/>
    <w:rsid w:val="000B3355"/>
    <w:rsid w:val="000B75BB"/>
    <w:rsid w:val="000C6E3F"/>
    <w:rsid w:val="000E1209"/>
    <w:rsid w:val="000E5BDE"/>
    <w:rsid w:val="000F1155"/>
    <w:rsid w:val="00113AAE"/>
    <w:rsid w:val="001228F0"/>
    <w:rsid w:val="001263DE"/>
    <w:rsid w:val="00137D2A"/>
    <w:rsid w:val="0014202D"/>
    <w:rsid w:val="00156485"/>
    <w:rsid w:val="00170BF7"/>
    <w:rsid w:val="00172771"/>
    <w:rsid w:val="00177EBA"/>
    <w:rsid w:val="00191234"/>
    <w:rsid w:val="001B3A75"/>
    <w:rsid w:val="001B5D28"/>
    <w:rsid w:val="001E4EF4"/>
    <w:rsid w:val="00210C64"/>
    <w:rsid w:val="00220B03"/>
    <w:rsid w:val="0023267D"/>
    <w:rsid w:val="00237880"/>
    <w:rsid w:val="00240817"/>
    <w:rsid w:val="00272082"/>
    <w:rsid w:val="002754F4"/>
    <w:rsid w:val="0028032C"/>
    <w:rsid w:val="00297327"/>
    <w:rsid w:val="002C0295"/>
    <w:rsid w:val="002C3114"/>
    <w:rsid w:val="002C47D8"/>
    <w:rsid w:val="002D0C4D"/>
    <w:rsid w:val="002D27AF"/>
    <w:rsid w:val="002D36E2"/>
    <w:rsid w:val="002E6C8B"/>
    <w:rsid w:val="003038E9"/>
    <w:rsid w:val="0030690F"/>
    <w:rsid w:val="003147B0"/>
    <w:rsid w:val="003169CB"/>
    <w:rsid w:val="003200C5"/>
    <w:rsid w:val="00345B85"/>
    <w:rsid w:val="0035148B"/>
    <w:rsid w:val="00352312"/>
    <w:rsid w:val="003711A7"/>
    <w:rsid w:val="0037576E"/>
    <w:rsid w:val="00381DF9"/>
    <w:rsid w:val="00386FC8"/>
    <w:rsid w:val="0039284E"/>
    <w:rsid w:val="003A3628"/>
    <w:rsid w:val="003B03F6"/>
    <w:rsid w:val="003D6C44"/>
    <w:rsid w:val="003F10E3"/>
    <w:rsid w:val="00421E34"/>
    <w:rsid w:val="004367AD"/>
    <w:rsid w:val="004424DF"/>
    <w:rsid w:val="0044326E"/>
    <w:rsid w:val="00462C43"/>
    <w:rsid w:val="00477BEB"/>
    <w:rsid w:val="00480671"/>
    <w:rsid w:val="00482F83"/>
    <w:rsid w:val="00484000"/>
    <w:rsid w:val="004852A5"/>
    <w:rsid w:val="0049031D"/>
    <w:rsid w:val="004904B4"/>
    <w:rsid w:val="00491CCE"/>
    <w:rsid w:val="004B7B50"/>
    <w:rsid w:val="004F1ABB"/>
    <w:rsid w:val="004F3029"/>
    <w:rsid w:val="00505661"/>
    <w:rsid w:val="005332B8"/>
    <w:rsid w:val="00540B97"/>
    <w:rsid w:val="00542544"/>
    <w:rsid w:val="005563AD"/>
    <w:rsid w:val="00565616"/>
    <w:rsid w:val="00571BE0"/>
    <w:rsid w:val="00582A93"/>
    <w:rsid w:val="00582E64"/>
    <w:rsid w:val="00591B11"/>
    <w:rsid w:val="005A31F7"/>
    <w:rsid w:val="005A5521"/>
    <w:rsid w:val="005A70F4"/>
    <w:rsid w:val="005B2C57"/>
    <w:rsid w:val="005B4452"/>
    <w:rsid w:val="005C7005"/>
    <w:rsid w:val="005D6F04"/>
    <w:rsid w:val="005E10F4"/>
    <w:rsid w:val="005F146E"/>
    <w:rsid w:val="0060500C"/>
    <w:rsid w:val="00612A33"/>
    <w:rsid w:val="00624D38"/>
    <w:rsid w:val="00625200"/>
    <w:rsid w:val="00636C0F"/>
    <w:rsid w:val="00651C01"/>
    <w:rsid w:val="0066335E"/>
    <w:rsid w:val="00673C79"/>
    <w:rsid w:val="00675F25"/>
    <w:rsid w:val="006A5496"/>
    <w:rsid w:val="006A6D03"/>
    <w:rsid w:val="006B1942"/>
    <w:rsid w:val="006C0509"/>
    <w:rsid w:val="006C4AE6"/>
    <w:rsid w:val="006C51E0"/>
    <w:rsid w:val="006C71D4"/>
    <w:rsid w:val="006D45A1"/>
    <w:rsid w:val="006E5A4C"/>
    <w:rsid w:val="006E63C4"/>
    <w:rsid w:val="006F7518"/>
    <w:rsid w:val="00706916"/>
    <w:rsid w:val="00707BB4"/>
    <w:rsid w:val="00707C8E"/>
    <w:rsid w:val="00734C93"/>
    <w:rsid w:val="00762C34"/>
    <w:rsid w:val="00765126"/>
    <w:rsid w:val="007675DF"/>
    <w:rsid w:val="007907BD"/>
    <w:rsid w:val="007B2128"/>
    <w:rsid w:val="007C06AB"/>
    <w:rsid w:val="007C2706"/>
    <w:rsid w:val="007C57AA"/>
    <w:rsid w:val="007C7710"/>
    <w:rsid w:val="00813367"/>
    <w:rsid w:val="00827560"/>
    <w:rsid w:val="00834708"/>
    <w:rsid w:val="00851C25"/>
    <w:rsid w:val="00857C91"/>
    <w:rsid w:val="00862607"/>
    <w:rsid w:val="00863DAB"/>
    <w:rsid w:val="008656AC"/>
    <w:rsid w:val="0086676E"/>
    <w:rsid w:val="008814DF"/>
    <w:rsid w:val="00893B0B"/>
    <w:rsid w:val="008A7741"/>
    <w:rsid w:val="008D6A80"/>
    <w:rsid w:val="00902057"/>
    <w:rsid w:val="00925395"/>
    <w:rsid w:val="00937F66"/>
    <w:rsid w:val="009449FC"/>
    <w:rsid w:val="00946F8C"/>
    <w:rsid w:val="009555A1"/>
    <w:rsid w:val="00963492"/>
    <w:rsid w:val="00967D6F"/>
    <w:rsid w:val="00985F52"/>
    <w:rsid w:val="009A3416"/>
    <w:rsid w:val="009A380B"/>
    <w:rsid w:val="009C23DA"/>
    <w:rsid w:val="009C5A05"/>
    <w:rsid w:val="009C6B3E"/>
    <w:rsid w:val="009E1C79"/>
    <w:rsid w:val="009F6C75"/>
    <w:rsid w:val="009F7C16"/>
    <w:rsid w:val="00A033BE"/>
    <w:rsid w:val="00A053C5"/>
    <w:rsid w:val="00A265C3"/>
    <w:rsid w:val="00A6524B"/>
    <w:rsid w:val="00A70380"/>
    <w:rsid w:val="00A90B49"/>
    <w:rsid w:val="00A95C5D"/>
    <w:rsid w:val="00AD396F"/>
    <w:rsid w:val="00AD62BF"/>
    <w:rsid w:val="00B05DAE"/>
    <w:rsid w:val="00B35FAD"/>
    <w:rsid w:val="00B44033"/>
    <w:rsid w:val="00B648E9"/>
    <w:rsid w:val="00B757EE"/>
    <w:rsid w:val="00B85D86"/>
    <w:rsid w:val="00B87824"/>
    <w:rsid w:val="00BA4097"/>
    <w:rsid w:val="00BC0138"/>
    <w:rsid w:val="00BD189C"/>
    <w:rsid w:val="00BD4DBE"/>
    <w:rsid w:val="00BE480F"/>
    <w:rsid w:val="00C11C8A"/>
    <w:rsid w:val="00C21978"/>
    <w:rsid w:val="00C25F88"/>
    <w:rsid w:val="00C41B47"/>
    <w:rsid w:val="00C440B1"/>
    <w:rsid w:val="00C45D1A"/>
    <w:rsid w:val="00C466BF"/>
    <w:rsid w:val="00C479B0"/>
    <w:rsid w:val="00C53D3C"/>
    <w:rsid w:val="00C654CA"/>
    <w:rsid w:val="00C73D83"/>
    <w:rsid w:val="00C93780"/>
    <w:rsid w:val="00CC30B0"/>
    <w:rsid w:val="00CD6A90"/>
    <w:rsid w:val="00CF320A"/>
    <w:rsid w:val="00CF51C4"/>
    <w:rsid w:val="00CF76B2"/>
    <w:rsid w:val="00D132FD"/>
    <w:rsid w:val="00D2133A"/>
    <w:rsid w:val="00D22A6A"/>
    <w:rsid w:val="00D318A9"/>
    <w:rsid w:val="00D33616"/>
    <w:rsid w:val="00D412D9"/>
    <w:rsid w:val="00D4183E"/>
    <w:rsid w:val="00D441B6"/>
    <w:rsid w:val="00D47F51"/>
    <w:rsid w:val="00D50514"/>
    <w:rsid w:val="00D5707F"/>
    <w:rsid w:val="00D6324D"/>
    <w:rsid w:val="00D64C91"/>
    <w:rsid w:val="00D7174B"/>
    <w:rsid w:val="00D85D32"/>
    <w:rsid w:val="00DA3F0C"/>
    <w:rsid w:val="00DB634A"/>
    <w:rsid w:val="00DD4DCC"/>
    <w:rsid w:val="00DE51A5"/>
    <w:rsid w:val="00DE75D1"/>
    <w:rsid w:val="00DF14B1"/>
    <w:rsid w:val="00DF3D2E"/>
    <w:rsid w:val="00DF6B36"/>
    <w:rsid w:val="00E05F2C"/>
    <w:rsid w:val="00E221FC"/>
    <w:rsid w:val="00E328F7"/>
    <w:rsid w:val="00E41895"/>
    <w:rsid w:val="00E7005F"/>
    <w:rsid w:val="00E74A02"/>
    <w:rsid w:val="00E95326"/>
    <w:rsid w:val="00EA41B4"/>
    <w:rsid w:val="00ED0C24"/>
    <w:rsid w:val="00ED1CD3"/>
    <w:rsid w:val="00EE51BA"/>
    <w:rsid w:val="00EE5686"/>
    <w:rsid w:val="00EE6515"/>
    <w:rsid w:val="00EF1DBA"/>
    <w:rsid w:val="00EF32CD"/>
    <w:rsid w:val="00EF71AF"/>
    <w:rsid w:val="00F10742"/>
    <w:rsid w:val="00F20F21"/>
    <w:rsid w:val="00F34072"/>
    <w:rsid w:val="00F51790"/>
    <w:rsid w:val="00F52475"/>
    <w:rsid w:val="00F61FC4"/>
    <w:rsid w:val="00F66210"/>
    <w:rsid w:val="00F676C4"/>
    <w:rsid w:val="00F67A34"/>
    <w:rsid w:val="00F74123"/>
    <w:rsid w:val="00F951E8"/>
    <w:rsid w:val="00FC240D"/>
    <w:rsid w:val="00FC3B2F"/>
    <w:rsid w:val="00FD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043_действующая редакция</Статус_x0020_документа>
    <_EndDate xmlns="http://schemas.microsoft.com/sharepoint/v3/fields">2012-10-31T20:00:00+00:00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3572-B4A1-44FF-A9E3-6F53F50ABB7F}"/>
</file>

<file path=customXml/itemProps2.xml><?xml version="1.0" encoding="utf-8"?>
<ds:datastoreItem xmlns:ds="http://schemas.openxmlformats.org/officeDocument/2006/customXml" ds:itemID="{2973C920-1346-4209-82DC-716584D7B759}"/>
</file>

<file path=customXml/itemProps3.xml><?xml version="1.0" encoding="utf-8"?>
<ds:datastoreItem xmlns:ds="http://schemas.openxmlformats.org/officeDocument/2006/customXml" ds:itemID="{B52ABA90-68BE-49AC-A88C-808A37959AAD}"/>
</file>

<file path=customXml/itemProps4.xml><?xml version="1.0" encoding="utf-8"?>
<ds:datastoreItem xmlns:ds="http://schemas.openxmlformats.org/officeDocument/2006/customXml" ds:itemID="{89AD7AE2-B4A4-4D9E-B476-1EBD06CFD7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2251</Words>
  <Characters>15959</Characters>
  <Application>Microsoft Office Word</Application>
  <DocSecurity>0</DocSecurity>
  <Lines>132</Lines>
  <Paragraphs>36</Paragraphs>
  <ScaleCrop>false</ScaleCrop>
  <Company>3D</Company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2011-04-18T09:28:00Z</cp:lastPrinted>
  <dcterms:created xsi:type="dcterms:W3CDTF">2012-11-02T11:16:00Z</dcterms:created>
  <dcterms:modified xsi:type="dcterms:W3CDTF">2012-11-02T11:16:00Z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