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9923"/>
      </w:tblGrid>
      <w:tr w:rsidR="009070D4" w:rsidRPr="008C5965" w:rsidTr="009070D4">
        <w:tc>
          <w:tcPr>
            <w:tcW w:w="9923" w:type="dxa"/>
          </w:tcPr>
          <w:p w:rsidR="009070D4" w:rsidRPr="008C5965" w:rsidRDefault="009070D4" w:rsidP="00A047D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8C59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«УТВЕРЖДЕНО»</w:t>
            </w:r>
          </w:p>
        </w:tc>
      </w:tr>
      <w:tr w:rsidR="009070D4" w:rsidRPr="008C5965" w:rsidTr="009070D4">
        <w:trPr>
          <w:trHeight w:val="1010"/>
        </w:trPr>
        <w:tc>
          <w:tcPr>
            <w:tcW w:w="9923" w:type="dxa"/>
          </w:tcPr>
          <w:p w:rsidR="009070D4" w:rsidRPr="008C5965" w:rsidRDefault="001509DA" w:rsidP="00A047DF">
            <w:pPr>
              <w:pStyle w:val="ConsTitle"/>
              <w:widowControl/>
              <w:ind w:left="5245"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9070D4" w:rsidRPr="008C5965">
              <w:rPr>
                <w:rFonts w:ascii="Times New Roman" w:hAnsi="Times New Roman" w:cs="Times New Roman"/>
                <w:sz w:val="22"/>
                <w:szCs w:val="22"/>
              </w:rPr>
              <w:t xml:space="preserve">Приказ № </w:t>
            </w:r>
            <w:r w:rsidR="009E642B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  <w:r w:rsidR="009070D4" w:rsidRPr="008C5965">
              <w:rPr>
                <w:rFonts w:ascii="Times New Roman" w:hAnsi="Times New Roman" w:cs="Times New Roman"/>
                <w:sz w:val="22"/>
                <w:szCs w:val="22"/>
              </w:rPr>
              <w:t>/УК от «</w:t>
            </w:r>
            <w:r w:rsidR="003A5A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64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07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5A24">
              <w:rPr>
                <w:rFonts w:ascii="Times New Roman" w:hAnsi="Times New Roman" w:cs="Times New Roman"/>
                <w:sz w:val="22"/>
                <w:szCs w:val="22"/>
              </w:rPr>
              <w:t xml:space="preserve">декабря </w:t>
            </w:r>
            <w:r w:rsidR="009070D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9070D4" w:rsidRPr="008C5965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  <w:p w:rsidR="009070D4" w:rsidRPr="008C5965" w:rsidRDefault="009070D4" w:rsidP="00A047DF">
            <w:pPr>
              <w:pStyle w:val="ConsTitle"/>
              <w:widowControl/>
              <w:ind w:left="4536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0D4" w:rsidRPr="008C5965" w:rsidRDefault="009070D4" w:rsidP="00A047D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070D4" w:rsidRPr="008C5965" w:rsidRDefault="009070D4" w:rsidP="00A047D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070D4" w:rsidRPr="008C5965" w:rsidRDefault="009070D4" w:rsidP="00A047D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C5965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Генеральный  директор</w:t>
            </w:r>
          </w:p>
          <w:p w:rsidR="009070D4" w:rsidRPr="008C5965" w:rsidRDefault="009070D4" w:rsidP="00A047D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C5965">
              <w:rPr>
                <w:rFonts w:ascii="Times New Roman" w:hAnsi="Times New Roman"/>
                <w:b/>
                <w:sz w:val="22"/>
                <w:szCs w:val="22"/>
              </w:rPr>
              <w:t>ООО "Цитадель Э.М"</w:t>
            </w:r>
          </w:p>
        </w:tc>
      </w:tr>
    </w:tbl>
    <w:p w:rsidR="009070D4" w:rsidRPr="008C5965" w:rsidRDefault="009070D4" w:rsidP="009070D4">
      <w:pPr>
        <w:pStyle w:val="ConsTitle"/>
        <w:widowControl/>
        <w:tabs>
          <w:tab w:val="left" w:pos="4678"/>
          <w:tab w:val="left" w:pos="9923"/>
        </w:tabs>
        <w:ind w:left="4678" w:right="567" w:firstLine="278"/>
        <w:jc w:val="right"/>
        <w:rPr>
          <w:rFonts w:ascii="Times New Roman" w:hAnsi="Times New Roman" w:cs="Times New Roman"/>
          <w:sz w:val="22"/>
          <w:szCs w:val="22"/>
        </w:rPr>
      </w:pPr>
    </w:p>
    <w:p w:rsidR="009070D4" w:rsidRPr="008C5965" w:rsidRDefault="009070D4" w:rsidP="009070D4">
      <w:pPr>
        <w:keepNext/>
        <w:widowControl w:val="0"/>
        <w:suppressLineNumbers/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8C5965">
        <w:rPr>
          <w:rFonts w:ascii="Times New Roman" w:hAnsi="Times New Roman"/>
          <w:b/>
          <w:sz w:val="22"/>
          <w:szCs w:val="22"/>
        </w:rPr>
        <w:t xml:space="preserve">     ____________________/Е.В. Лебедева</w:t>
      </w:r>
    </w:p>
    <w:p w:rsidR="009070D4" w:rsidRPr="008C5965" w:rsidRDefault="001509DA" w:rsidP="009070D4">
      <w:pPr>
        <w:pStyle w:val="ConsTitle"/>
        <w:widowControl/>
        <w:tabs>
          <w:tab w:val="left" w:pos="4678"/>
          <w:tab w:val="left" w:pos="9923"/>
        </w:tabs>
        <w:ind w:left="4678" w:right="567" w:firstLine="27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9070D4" w:rsidRPr="008C5965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547233" w:rsidRDefault="00547233" w:rsidP="00A10DD0">
      <w:pPr>
        <w:pStyle w:val="ConsTitle"/>
        <w:widowControl/>
        <w:ind w:left="4536" w:right="0"/>
        <w:rPr>
          <w:rFonts w:ascii="Times New Roman" w:hAnsi="Times New Roman" w:cs="Times New Roman"/>
          <w:sz w:val="24"/>
          <w:szCs w:val="24"/>
        </w:rPr>
      </w:pPr>
    </w:p>
    <w:p w:rsidR="00D25CA7" w:rsidRDefault="00A10DD0" w:rsidP="00A10D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26C33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6C33">
        <w:rPr>
          <w:rFonts w:ascii="Times New Roman" w:hAnsi="Times New Roman" w:cs="Times New Roman"/>
          <w:sz w:val="24"/>
          <w:szCs w:val="24"/>
        </w:rPr>
        <w:t xml:space="preserve"> И ДОПОЛНЕНИ</w:t>
      </w:r>
      <w:r>
        <w:rPr>
          <w:rFonts w:ascii="Times New Roman" w:hAnsi="Times New Roman" w:cs="Times New Roman"/>
          <w:sz w:val="24"/>
          <w:szCs w:val="24"/>
        </w:rPr>
        <w:t xml:space="preserve">Я № </w:t>
      </w:r>
      <w:r w:rsidR="000E51CB">
        <w:rPr>
          <w:rFonts w:ascii="Times New Roman" w:hAnsi="Times New Roman" w:cs="Times New Roman"/>
          <w:sz w:val="24"/>
          <w:szCs w:val="24"/>
        </w:rPr>
        <w:t>8</w:t>
      </w:r>
    </w:p>
    <w:p w:rsidR="00801A5B" w:rsidRPr="00F26C33" w:rsidRDefault="00801A5B" w:rsidP="00801A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26C33">
        <w:rPr>
          <w:rFonts w:ascii="Times New Roman" w:hAnsi="Times New Roman" w:cs="Times New Roman"/>
          <w:sz w:val="24"/>
          <w:szCs w:val="24"/>
        </w:rPr>
        <w:t>В ПРАВИЛА</w:t>
      </w:r>
    </w:p>
    <w:p w:rsidR="00801A5B" w:rsidRPr="00F26C33" w:rsidRDefault="00801A5B" w:rsidP="00801A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26C33">
        <w:rPr>
          <w:rFonts w:ascii="Times New Roman" w:hAnsi="Times New Roman" w:cs="Times New Roman"/>
          <w:sz w:val="24"/>
          <w:szCs w:val="24"/>
        </w:rPr>
        <w:t xml:space="preserve">ДОВЕРИТЕЛЬНОГО УПРАВЛЕНИЯ </w:t>
      </w:r>
    </w:p>
    <w:p w:rsidR="00801A5B" w:rsidRDefault="00801A5B" w:rsidP="00801A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26C33">
        <w:rPr>
          <w:rFonts w:ascii="Times New Roman" w:hAnsi="Times New Roman" w:cs="Times New Roman"/>
          <w:sz w:val="24"/>
          <w:szCs w:val="24"/>
        </w:rPr>
        <w:t>Закрытым паевым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C33">
        <w:rPr>
          <w:rFonts w:ascii="Times New Roman" w:hAnsi="Times New Roman" w:cs="Times New Roman"/>
          <w:sz w:val="24"/>
          <w:szCs w:val="24"/>
        </w:rPr>
        <w:t>инвестиционным фондом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C33">
        <w:rPr>
          <w:rFonts w:ascii="Times New Roman" w:hAnsi="Times New Roman" w:cs="Times New Roman"/>
          <w:sz w:val="24"/>
          <w:szCs w:val="24"/>
        </w:rPr>
        <w:t>«Панорама»</w:t>
      </w:r>
    </w:p>
    <w:p w:rsidR="006F444D" w:rsidRPr="008C5965" w:rsidRDefault="00801A5B" w:rsidP="008C5965">
      <w:pPr>
        <w:ind w:left="567" w:right="56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F26C33" w:rsidDel="00801A5B">
        <w:rPr>
          <w:rFonts w:ascii="Times New Roman" w:hAnsi="Times New Roman"/>
        </w:rPr>
        <w:t xml:space="preserve"> </w:t>
      </w:r>
      <w:proofErr w:type="gramStart"/>
      <w:r w:rsidR="00552D0E" w:rsidRPr="00F26C33">
        <w:rPr>
          <w:rFonts w:ascii="Times New Roman" w:hAnsi="Times New Roman"/>
          <w:b/>
          <w:bCs/>
          <w:i/>
        </w:rPr>
        <w:t>(</w:t>
      </w:r>
      <w:r w:rsidR="006C7086" w:rsidRPr="008C5965">
        <w:rPr>
          <w:rFonts w:ascii="Times New Roman" w:hAnsi="Times New Roman"/>
          <w:b/>
          <w:bCs/>
          <w:i/>
          <w:sz w:val="22"/>
          <w:szCs w:val="22"/>
        </w:rPr>
        <w:t>Правила зарегистрированы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937154" w:rsidRPr="008C5965">
        <w:rPr>
          <w:rFonts w:ascii="Times New Roman" w:hAnsi="Times New Roman"/>
          <w:b/>
          <w:bCs/>
          <w:i/>
          <w:sz w:val="22"/>
          <w:szCs w:val="22"/>
        </w:rPr>
        <w:t>Центральным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937154" w:rsidRPr="008C5965">
        <w:rPr>
          <w:rFonts w:ascii="Times New Roman" w:hAnsi="Times New Roman"/>
          <w:b/>
          <w:bCs/>
          <w:i/>
          <w:sz w:val="22"/>
          <w:szCs w:val="22"/>
        </w:rPr>
        <w:t xml:space="preserve">Банком 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>Росси</w:t>
      </w:r>
      <w:r w:rsidR="00937154" w:rsidRPr="008C5965">
        <w:rPr>
          <w:rFonts w:ascii="Times New Roman" w:hAnsi="Times New Roman"/>
          <w:b/>
          <w:bCs/>
          <w:i/>
          <w:sz w:val="22"/>
          <w:szCs w:val="22"/>
        </w:rPr>
        <w:t>йской Федерации</w:t>
      </w:r>
      <w:proofErr w:type="gramEnd"/>
    </w:p>
    <w:p w:rsidR="006F444D" w:rsidRPr="008C5965" w:rsidRDefault="00937154" w:rsidP="008C5965">
      <w:pPr>
        <w:ind w:left="567" w:right="566"/>
        <w:jc w:val="center"/>
        <w:rPr>
          <w:rFonts w:ascii="Times New Roman" w:hAnsi="Times New Roman"/>
          <w:b/>
          <w:i/>
          <w:sz w:val="22"/>
          <w:szCs w:val="22"/>
        </w:rPr>
      </w:pPr>
      <w:r w:rsidRPr="008C5965">
        <w:rPr>
          <w:rFonts w:ascii="Times New Roman" w:hAnsi="Times New Roman"/>
          <w:b/>
          <w:bCs/>
          <w:i/>
          <w:sz w:val="22"/>
          <w:szCs w:val="22"/>
        </w:rPr>
        <w:t>10</w:t>
      </w:r>
      <w:r w:rsidR="006F444D" w:rsidRPr="008C5965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8C5965">
        <w:rPr>
          <w:rFonts w:ascii="Times New Roman" w:hAnsi="Times New Roman"/>
          <w:b/>
          <w:bCs/>
          <w:i/>
          <w:sz w:val="22"/>
          <w:szCs w:val="22"/>
        </w:rPr>
        <w:t>июля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 xml:space="preserve"> 201</w:t>
      </w:r>
      <w:r w:rsidRPr="008C5965">
        <w:rPr>
          <w:rFonts w:ascii="Times New Roman" w:hAnsi="Times New Roman"/>
          <w:b/>
          <w:bCs/>
          <w:i/>
          <w:sz w:val="22"/>
          <w:szCs w:val="22"/>
        </w:rPr>
        <w:t>4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 xml:space="preserve"> г № </w:t>
      </w:r>
      <w:r w:rsidRPr="008C5965">
        <w:rPr>
          <w:rFonts w:ascii="Times New Roman" w:hAnsi="Times New Roman"/>
          <w:b/>
          <w:bCs/>
          <w:i/>
          <w:sz w:val="22"/>
          <w:szCs w:val="22"/>
        </w:rPr>
        <w:t>2824</w:t>
      </w:r>
      <w:r w:rsidR="00552D0E" w:rsidRPr="008C5965">
        <w:rPr>
          <w:rFonts w:ascii="Times New Roman" w:hAnsi="Times New Roman"/>
          <w:b/>
          <w:bCs/>
          <w:i/>
          <w:sz w:val="22"/>
          <w:szCs w:val="22"/>
        </w:rPr>
        <w:t>,</w:t>
      </w:r>
      <w:r w:rsidR="006C7086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2461CD" w:rsidRPr="008C5965">
        <w:rPr>
          <w:rFonts w:ascii="Times New Roman" w:hAnsi="Times New Roman"/>
          <w:b/>
          <w:i/>
          <w:sz w:val="22"/>
          <w:szCs w:val="22"/>
        </w:rPr>
        <w:t>изменения и дополнения в Правила зарегистрированы</w:t>
      </w:r>
      <w:r w:rsidR="006F444D" w:rsidRPr="008C5965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8C5965">
        <w:rPr>
          <w:rFonts w:ascii="Times New Roman" w:hAnsi="Times New Roman"/>
          <w:b/>
          <w:i/>
          <w:sz w:val="22"/>
          <w:szCs w:val="22"/>
        </w:rPr>
        <w:t>Центральным Банком Российской Федерации 07 октября 2014 г № 2824-1</w:t>
      </w:r>
      <w:r w:rsidR="007F03C8" w:rsidRPr="008C5965">
        <w:rPr>
          <w:rFonts w:ascii="Times New Roman" w:hAnsi="Times New Roman"/>
          <w:b/>
          <w:i/>
          <w:sz w:val="22"/>
          <w:szCs w:val="22"/>
        </w:rPr>
        <w:t>,</w:t>
      </w:r>
    </w:p>
    <w:p w:rsidR="009D04B2" w:rsidRDefault="001137DF" w:rsidP="008C5965">
      <w:pPr>
        <w:ind w:left="567" w:right="566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C5965">
        <w:rPr>
          <w:rFonts w:ascii="Times New Roman" w:hAnsi="Times New Roman"/>
          <w:b/>
          <w:bCs/>
          <w:i/>
          <w:iCs/>
          <w:sz w:val="22"/>
          <w:szCs w:val="22"/>
        </w:rPr>
        <w:t>09 февраля 2015 г. №2824-2</w:t>
      </w:r>
      <w:r w:rsidR="003E3FDD" w:rsidRPr="008C5965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r w:rsidR="00CB2BED" w:rsidRPr="008C5965">
        <w:rPr>
          <w:rFonts w:ascii="Times New Roman" w:hAnsi="Times New Roman"/>
          <w:b/>
          <w:bCs/>
          <w:i/>
          <w:iCs/>
          <w:sz w:val="22"/>
          <w:szCs w:val="22"/>
        </w:rPr>
        <w:t>01 ноября 2016 г. №</w:t>
      </w:r>
      <w:r w:rsidR="00456C80" w:rsidRPr="008C5965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3167EE" w:rsidRPr="008C5965">
        <w:rPr>
          <w:rFonts w:ascii="Times New Roman" w:hAnsi="Times New Roman"/>
          <w:b/>
          <w:bCs/>
          <w:i/>
          <w:iCs/>
          <w:sz w:val="22"/>
          <w:szCs w:val="22"/>
        </w:rPr>
        <w:t>2824-</w:t>
      </w:r>
      <w:r w:rsidR="003E3FDD" w:rsidRPr="008C5965">
        <w:rPr>
          <w:rFonts w:ascii="Times New Roman" w:hAnsi="Times New Roman"/>
          <w:b/>
          <w:bCs/>
          <w:i/>
          <w:iCs/>
          <w:sz w:val="22"/>
          <w:szCs w:val="22"/>
        </w:rPr>
        <w:t xml:space="preserve"> 3</w:t>
      </w:r>
      <w:r w:rsidR="008C5965" w:rsidRPr="008C5965">
        <w:rPr>
          <w:rFonts w:ascii="Times New Roman" w:hAnsi="Times New Roman"/>
          <w:b/>
          <w:bCs/>
          <w:i/>
          <w:iCs/>
          <w:sz w:val="22"/>
          <w:szCs w:val="22"/>
        </w:rPr>
        <w:t>, 26 января 2017г. № 2824-4</w:t>
      </w:r>
      <w:r w:rsidR="00126DE7">
        <w:rPr>
          <w:rFonts w:ascii="Times New Roman" w:hAnsi="Times New Roman"/>
          <w:b/>
          <w:bCs/>
          <w:i/>
          <w:iCs/>
          <w:sz w:val="22"/>
          <w:szCs w:val="22"/>
        </w:rPr>
        <w:t>,</w:t>
      </w:r>
    </w:p>
    <w:p w:rsidR="00126DE7" w:rsidRDefault="00303B46" w:rsidP="008C5965">
      <w:pPr>
        <w:ind w:left="567" w:right="566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>13 марта 2018 г. № 2824-5</w:t>
      </w:r>
      <w:r w:rsidR="009070D4">
        <w:rPr>
          <w:rFonts w:ascii="Times New Roman" w:hAnsi="Times New Roman"/>
          <w:b/>
          <w:bCs/>
          <w:i/>
          <w:iCs/>
          <w:sz w:val="22"/>
          <w:szCs w:val="22"/>
        </w:rPr>
        <w:t>,</w:t>
      </w:r>
      <w:r w:rsidR="006C7086">
        <w:rPr>
          <w:rFonts w:ascii="Times New Roman" w:hAnsi="Times New Roman"/>
          <w:b/>
          <w:bCs/>
          <w:i/>
          <w:iCs/>
          <w:sz w:val="22"/>
          <w:szCs w:val="22"/>
        </w:rPr>
        <w:t>26 июля 2018 г. № 2824-6</w:t>
      </w:r>
      <w:r w:rsidR="000E51CB">
        <w:rPr>
          <w:rFonts w:ascii="Times New Roman" w:hAnsi="Times New Roman"/>
          <w:b/>
          <w:bCs/>
          <w:i/>
          <w:iCs/>
          <w:sz w:val="22"/>
          <w:szCs w:val="22"/>
        </w:rPr>
        <w:t>, 02 июня 2020 г. № 2824-7</w:t>
      </w:r>
      <w:r w:rsidR="0057792A">
        <w:rPr>
          <w:rFonts w:ascii="Times New Roman" w:hAnsi="Times New Roman"/>
          <w:b/>
          <w:bCs/>
          <w:i/>
          <w:iCs/>
          <w:sz w:val="22"/>
          <w:szCs w:val="22"/>
        </w:rPr>
        <w:t>.)</w:t>
      </w:r>
      <w:proofErr w:type="gramEnd"/>
    </w:p>
    <w:p w:rsidR="00126DE7" w:rsidRPr="008C5965" w:rsidRDefault="00126DE7" w:rsidP="008C5965">
      <w:pPr>
        <w:ind w:left="567" w:right="566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02"/>
        <w:gridCol w:w="4961"/>
      </w:tblGrid>
      <w:tr w:rsidR="00D0251E" w:rsidRPr="006C3D33" w:rsidTr="00E95070">
        <w:tc>
          <w:tcPr>
            <w:tcW w:w="540" w:type="dxa"/>
          </w:tcPr>
          <w:p w:rsidR="00D0251E" w:rsidRPr="006C3D33" w:rsidRDefault="00D0251E" w:rsidP="00E95070">
            <w:pPr>
              <w:spacing w:after="6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6C3D33">
              <w:t>п</w:t>
            </w:r>
            <w:proofErr w:type="spellEnd"/>
          </w:p>
        </w:tc>
        <w:tc>
          <w:tcPr>
            <w:tcW w:w="4602" w:type="dxa"/>
          </w:tcPr>
          <w:p w:rsidR="00D0251E" w:rsidRPr="006C3D33" w:rsidRDefault="00D0251E" w:rsidP="00E95070">
            <w:pPr>
              <w:pStyle w:val="3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6C3D33">
              <w:rPr>
                <w:rFonts w:ascii="Times New Roman" w:hAnsi="Times New Roman"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961" w:type="dxa"/>
          </w:tcPr>
          <w:p w:rsidR="00D0251E" w:rsidRPr="006C3D33" w:rsidRDefault="00D0251E" w:rsidP="00E9507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6C3D33"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</w:tr>
      <w:tr w:rsidR="00D0251E" w:rsidRPr="006C3D33" w:rsidTr="001334FD">
        <w:trPr>
          <w:trHeight w:val="1430"/>
        </w:trPr>
        <w:tc>
          <w:tcPr>
            <w:tcW w:w="540" w:type="dxa"/>
          </w:tcPr>
          <w:p w:rsidR="00D0251E" w:rsidRPr="006C3D33" w:rsidRDefault="00D0251E" w:rsidP="00E95070">
            <w:pPr>
              <w:spacing w:after="60"/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D0251E" w:rsidRPr="006C3D33" w:rsidRDefault="002F0506" w:rsidP="00525FA8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2F0506">
              <w:rPr>
                <w:rFonts w:ascii="Times New Roman" w:hAnsi="Times New Roman"/>
              </w:rPr>
              <w:t>13. Полное фирменное наименование аудиторской организации Фонда – Закрытое акционерное общество "АНАЛИТИК ЭКСПРЕСС" (далее – Аудиторская организация).</w:t>
            </w:r>
          </w:p>
        </w:tc>
        <w:tc>
          <w:tcPr>
            <w:tcW w:w="4961" w:type="dxa"/>
          </w:tcPr>
          <w:p w:rsidR="007703C0" w:rsidRPr="000A3D13" w:rsidRDefault="007703C0" w:rsidP="007703C0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0A3D13">
              <w:rPr>
                <w:rFonts w:ascii="Times New Roman" w:hAnsi="Times New Roman"/>
              </w:rPr>
              <w:t>13. Утратил силу.</w:t>
            </w:r>
          </w:p>
          <w:p w:rsidR="00D0251E" w:rsidRPr="00131684" w:rsidRDefault="00D0251E" w:rsidP="0000257E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F0506" w:rsidRPr="006C3D33" w:rsidTr="0027191F">
        <w:trPr>
          <w:trHeight w:val="1430"/>
        </w:trPr>
        <w:tc>
          <w:tcPr>
            <w:tcW w:w="540" w:type="dxa"/>
          </w:tcPr>
          <w:p w:rsidR="002F0506" w:rsidRPr="006C3D33" w:rsidRDefault="002F0506" w:rsidP="0027191F">
            <w:pPr>
              <w:spacing w:after="60"/>
              <w:jc w:val="center"/>
            </w:pPr>
            <w:r>
              <w:t>2</w:t>
            </w:r>
          </w:p>
        </w:tc>
        <w:tc>
          <w:tcPr>
            <w:tcW w:w="4602" w:type="dxa"/>
          </w:tcPr>
          <w:p w:rsidR="007703C0" w:rsidRPr="006C3D33" w:rsidRDefault="006663F8" w:rsidP="00525FA8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6663F8">
              <w:rPr>
                <w:rFonts w:ascii="Times New Roman" w:hAnsi="Times New Roman"/>
              </w:rPr>
              <w:t>14. Место нахождения Аудиторской организации – 125993, г. Москва, Газетный переулок, д.3-5, стр. 1.</w:t>
            </w:r>
          </w:p>
        </w:tc>
        <w:tc>
          <w:tcPr>
            <w:tcW w:w="4961" w:type="dxa"/>
          </w:tcPr>
          <w:p w:rsidR="007703C0" w:rsidRPr="000A3D13" w:rsidRDefault="007703C0" w:rsidP="007703C0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0A3D13">
              <w:rPr>
                <w:rFonts w:ascii="Times New Roman" w:hAnsi="Times New Roman"/>
              </w:rPr>
              <w:t>14. Утратил силу.</w:t>
            </w:r>
          </w:p>
          <w:p w:rsidR="002F0506" w:rsidRPr="00131684" w:rsidRDefault="002F0506" w:rsidP="0027191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F0506" w:rsidRPr="006C3D33" w:rsidTr="0027191F">
        <w:trPr>
          <w:trHeight w:val="1430"/>
        </w:trPr>
        <w:tc>
          <w:tcPr>
            <w:tcW w:w="540" w:type="dxa"/>
          </w:tcPr>
          <w:p w:rsidR="002F0506" w:rsidRPr="006C3D33" w:rsidRDefault="002F0506" w:rsidP="002F0506">
            <w:pPr>
              <w:spacing w:after="60"/>
              <w:jc w:val="center"/>
            </w:pPr>
            <w:r>
              <w:t>3</w:t>
            </w:r>
          </w:p>
        </w:tc>
        <w:tc>
          <w:tcPr>
            <w:tcW w:w="4602" w:type="dxa"/>
          </w:tcPr>
          <w:p w:rsidR="00050852" w:rsidRPr="00050852" w:rsidRDefault="00050852" w:rsidP="00050852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050852">
              <w:rPr>
                <w:rFonts w:ascii="Times New Roman" w:hAnsi="Times New Roman"/>
              </w:rPr>
              <w:t>16. Место нахождения оценщика:</w:t>
            </w:r>
          </w:p>
          <w:p w:rsidR="00050852" w:rsidRPr="00050852" w:rsidRDefault="00050852" w:rsidP="0005085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line="228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0852">
              <w:rPr>
                <w:rFonts w:ascii="Times New Roman" w:hAnsi="Times New Roman"/>
              </w:rPr>
              <w:t>125315, г. Москва, 2-й Амбулаторный проезд, дом 8, стр. 3 (Общество с ограниченной ответственностью «Форпост-оценка»;</w:t>
            </w:r>
            <w:proofErr w:type="gramEnd"/>
          </w:p>
          <w:p w:rsidR="002F0506" w:rsidRPr="006C3D33" w:rsidRDefault="00050852" w:rsidP="00525F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line="228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0852">
              <w:rPr>
                <w:rFonts w:ascii="Times New Roman" w:hAnsi="Times New Roman"/>
              </w:rPr>
              <w:t>109004, г. Москва, ул. Александра Солженицына, д. 23А, стр. 1 (Закрытое акционерное общество «АБМ Партнер»).</w:t>
            </w:r>
            <w:proofErr w:type="gramEnd"/>
          </w:p>
        </w:tc>
        <w:tc>
          <w:tcPr>
            <w:tcW w:w="4961" w:type="dxa"/>
          </w:tcPr>
          <w:p w:rsidR="00A248E7" w:rsidRPr="00050852" w:rsidRDefault="00A248E7" w:rsidP="00A248E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 w:rsidRPr="00050852">
              <w:rPr>
                <w:rFonts w:ascii="Times New Roman" w:hAnsi="Times New Roman"/>
              </w:rPr>
              <w:t>16. Место нахождения оценщика:</w:t>
            </w:r>
          </w:p>
          <w:p w:rsidR="00A248E7" w:rsidRPr="00050852" w:rsidRDefault="00A248E7" w:rsidP="00A248E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0508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17246</w:t>
            </w:r>
            <w:r w:rsidRPr="00050852">
              <w:rPr>
                <w:rFonts w:ascii="Times New Roman" w:hAnsi="Times New Roman"/>
              </w:rPr>
              <w:t xml:space="preserve">, г. Москва, </w:t>
            </w:r>
            <w:r>
              <w:rPr>
                <w:rFonts w:ascii="Times New Roman" w:hAnsi="Times New Roman"/>
              </w:rPr>
              <w:t>Научный проезд, дом 19, этаж 7, комн. 37.</w:t>
            </w:r>
            <w:r w:rsidRPr="00050852">
              <w:rPr>
                <w:rFonts w:ascii="Times New Roman" w:hAnsi="Times New Roman"/>
              </w:rPr>
              <w:t xml:space="preserve"> </w:t>
            </w:r>
            <w:proofErr w:type="gramStart"/>
            <w:r w:rsidRPr="00050852">
              <w:rPr>
                <w:rFonts w:ascii="Times New Roman" w:hAnsi="Times New Roman"/>
              </w:rPr>
              <w:t>(Общество с ограниченной ответственностью «Форпост-оценка»;</w:t>
            </w:r>
            <w:proofErr w:type="gramEnd"/>
          </w:p>
          <w:p w:rsidR="00A248E7" w:rsidRPr="00050852" w:rsidRDefault="00A248E7" w:rsidP="00A248E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line="228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0852">
              <w:rPr>
                <w:rFonts w:ascii="Times New Roman" w:hAnsi="Times New Roman"/>
              </w:rPr>
              <w:t>109004, г. Москва, ул. Александра Солженицына, д. 23А, стр. 1 (Закрытое акционерное общество «АБМ Партнер»).</w:t>
            </w:r>
            <w:proofErr w:type="gramEnd"/>
          </w:p>
          <w:p w:rsidR="002F0506" w:rsidRPr="00131684" w:rsidRDefault="002F0506" w:rsidP="006D2838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left="1287"/>
              <w:jc w:val="both"/>
              <w:rPr>
                <w:rFonts w:ascii="Times New Roman" w:hAnsi="Times New Roman"/>
              </w:rPr>
            </w:pPr>
          </w:p>
        </w:tc>
      </w:tr>
      <w:tr w:rsidR="00050852" w:rsidRPr="00131684" w:rsidTr="00606F9F">
        <w:trPr>
          <w:trHeight w:val="1430"/>
        </w:trPr>
        <w:tc>
          <w:tcPr>
            <w:tcW w:w="540" w:type="dxa"/>
          </w:tcPr>
          <w:p w:rsidR="00050852" w:rsidRPr="006C3D33" w:rsidRDefault="00050852" w:rsidP="00050852">
            <w:pPr>
              <w:spacing w:after="60"/>
              <w:jc w:val="center"/>
            </w:pPr>
            <w:r>
              <w:t>4</w:t>
            </w:r>
          </w:p>
        </w:tc>
        <w:tc>
          <w:tcPr>
            <w:tcW w:w="4602" w:type="dxa"/>
          </w:tcPr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31. Управляющая компания не вправе: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 xml:space="preserve">1) распоряжаться имуществом, составляющим Фонд, без предварительного согласия Специализированного депозитария, за исключением сделок, совершаемых на организованных торгах, проводимых </w:t>
            </w:r>
            <w:r w:rsidRPr="00334E16">
              <w:rPr>
                <w:rFonts w:ascii="Times New Roman" w:hAnsi="Times New Roman"/>
              </w:rPr>
              <w:lastRenderedPageBreak/>
              <w:t>российской или иностранной биржей либо иным организатором торговли;</w:t>
            </w:r>
          </w:p>
          <w:p w:rsidR="00334E16" w:rsidRPr="00334E16" w:rsidRDefault="00334E16" w:rsidP="00334E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2) распоряжаться денежными средствами, находящимися на транзитном счете, без предварительного согласия Специализированного депозитария;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3) использовать имущество, составляющее Фонд, для обеспечения исполнения собственных обязательств, не связанных с доверительным управлением Фондом, или для обеспечения исполнения обязатель</w:t>
            </w:r>
            <w:proofErr w:type="gramStart"/>
            <w:r w:rsidRPr="00334E16">
              <w:rPr>
                <w:rFonts w:ascii="Times New Roman" w:hAnsi="Times New Roman"/>
              </w:rPr>
              <w:t>ств тр</w:t>
            </w:r>
            <w:proofErr w:type="gramEnd"/>
            <w:r w:rsidRPr="00334E16">
              <w:rPr>
                <w:rFonts w:ascii="Times New Roman" w:hAnsi="Times New Roman"/>
              </w:rPr>
              <w:t>етьих лиц;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4) взимать проценты за пользование денежными средствами Управляющей компании, предоставленными для выплаты денежной компенсации владельцам инвестиционных паев в случае недостаточности денежных средств, составляющих Фонд;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5) совершать следующие сделки или давать поручения на совершение следующих сделок: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а) сделки по приобретению за счет имущества, составляющего Фонд, объектов, не предусмотренных Федеральным законом «Об инвестиционных фондах», нормативными актами в сфере финансовых рынков, инвестиционной декларацией Фонда;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б) сделки по безвозмездному отчуждению имущества, составляющего Фонд;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в) сделки, в результате которых Управляющей компанией принимается обязанность по передаче имущества, которое в момент принятия такой обязанности не составляет Фонд, за исключением сделок, совершаемых на организованных торгах при условии осуществления клиринга по таким сделкам;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г) сделки по приобретению имущества, являющегося предметом залога или иного обеспечения, в результате которых в состав Фонда включается имущество, являющееся предметом залога или иного обеспечения;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д</w:t>
            </w:r>
            <w:proofErr w:type="spellEnd"/>
            <w:r w:rsidRPr="00334E16">
              <w:rPr>
                <w:rFonts w:ascii="Times New Roman" w:hAnsi="Times New Roman"/>
              </w:rPr>
              <w:t>) договоры займа или кредитные договоры, возврат денежных средств по которым осуществляется за счет имущества Фонда, за исключением случаев получения денежных сре</w:t>
            </w:r>
            <w:proofErr w:type="gramStart"/>
            <w:r w:rsidRPr="00334E16">
              <w:rPr>
                <w:rFonts w:ascii="Times New Roman" w:hAnsi="Times New Roman"/>
              </w:rPr>
              <w:t>дств дл</w:t>
            </w:r>
            <w:proofErr w:type="gramEnd"/>
            <w:r w:rsidRPr="00334E16">
              <w:rPr>
                <w:rFonts w:ascii="Times New Roman" w:hAnsi="Times New Roman"/>
              </w:rPr>
              <w:t xml:space="preserve">я погашения инвестиционных паев при недостаточности денежных средств, </w:t>
            </w:r>
            <w:r w:rsidRPr="00334E16">
              <w:rPr>
                <w:rFonts w:ascii="Times New Roman" w:hAnsi="Times New Roman"/>
              </w:rPr>
              <w:lastRenderedPageBreak/>
              <w:t>составляющих Фонд. При этом совокупный объем задолженности, подлежащей погашению за счет имущества, составляющего Фонд, по всем договорам займа и кредитным договорам не должен превышать 20 (Двадцати) процентов стоимости чистых активов Фонда, а срок привлечения заемных средств по каждому договору займа и кредитному договору (включая срок продления) не может превышать 6 (Шесть) месяцев;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 xml:space="preserve">е) сделки </w:t>
            </w:r>
            <w:proofErr w:type="spellStart"/>
            <w:r w:rsidRPr="00334E16">
              <w:rPr>
                <w:rFonts w:ascii="Times New Roman" w:hAnsi="Times New Roman"/>
              </w:rPr>
              <w:t>репо</w:t>
            </w:r>
            <w:proofErr w:type="spellEnd"/>
            <w:r w:rsidRPr="00334E16">
              <w:rPr>
                <w:rFonts w:ascii="Times New Roman" w:hAnsi="Times New Roman"/>
              </w:rPr>
              <w:t>, подлежащие исполнению за счет имущества Фонда;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ж) сделки по приобретению в состав Фонда имущества, находящегося у Управляющей компании в доверительном управлении по иным договорам, и имущества, составляющего активы акционерного инвестиционного фонда, в котором Управляющая компания выполняет функции единоличного исполнительного органа;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з</w:t>
            </w:r>
            <w:proofErr w:type="spellEnd"/>
            <w:r w:rsidRPr="00334E16">
              <w:rPr>
                <w:rFonts w:ascii="Times New Roman" w:hAnsi="Times New Roman"/>
              </w:rPr>
              <w:t>) сделки по отчуждению имущества, составляющего Фонд, в состав имущества, находящегося у Управляющей компании в доверительном управлении по иным договорам, или в состав имущества, составляющего активы акционерного инвестиционного фонда, в котором Управляющая компания выполняет функции единоличного исполнительного органа;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и) 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Аудиторской организацией, Регистратором;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к) сделки по приобретению в состав Фонда имущества, принадлежащего Управляющей компании, ее участникам, основным и преобладающим хозяйственным обществам ее участников, ее дочерним и зависимым обществам, либо по отчуждению имущества, составляющего Фонд, указанным лицам;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334E16">
              <w:rPr>
                <w:rFonts w:ascii="Times New Roman" w:hAnsi="Times New Roman"/>
              </w:rPr>
              <w:t xml:space="preserve">л) сделки по приобретению в состав Фонда имущества у Специализированного депозитария, Оценщика, Аудиторской </w:t>
            </w:r>
            <w:r w:rsidRPr="00334E16">
              <w:rPr>
                <w:rFonts w:ascii="Times New Roman" w:hAnsi="Times New Roman"/>
              </w:rPr>
              <w:lastRenderedPageBreak/>
              <w:t>организации, с которыми Управляющей компанией заключены договоры, и владельцев инвестиционных паев,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102 настоящих Правил, а также иных случаев, предусмотренных настоящими Правилами;</w:t>
            </w:r>
            <w:proofErr w:type="gramEnd"/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м) сделки по передаче имущества, составляющего Фонд, в пользование владельцам инвестиционных паев;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н</w:t>
            </w:r>
            <w:proofErr w:type="spellEnd"/>
            <w:r w:rsidRPr="00334E16">
              <w:rPr>
                <w:rFonts w:ascii="Times New Roman" w:hAnsi="Times New Roman"/>
              </w:rPr>
              <w:t>) сделки по приобретению в состав Фонда ценных бумаг, выпущенных (выданных) Управляющей компанией, а также акционерным инвестиционным фондом,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компания.</w:t>
            </w:r>
          </w:p>
          <w:p w:rsidR="0037425B" w:rsidRDefault="00334E16" w:rsidP="009F4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6) заключать договоры возмездного оказания услуг, подлежащие оплате за счет активов Фонда, в случаях, установленных нормативными актами в сфере финансовых рынков.</w:t>
            </w:r>
          </w:p>
          <w:p w:rsidR="00050852" w:rsidRPr="006C3D33" w:rsidRDefault="00050852" w:rsidP="00606F9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lastRenderedPageBreak/>
              <w:t>31. Управляющая компания не вправе: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1) распоряжаться имуществом, составляющим Фонд, без предварительного согласия Специализированного депозитария, за исключением сделок, совершаемых на организованных торгах, проводимых российской или иностранной биржей либо иным организатором торговли;</w:t>
            </w:r>
          </w:p>
          <w:p w:rsidR="00334E16" w:rsidRPr="00334E16" w:rsidRDefault="00334E16" w:rsidP="00334E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lastRenderedPageBreak/>
              <w:t>2) распоряжаться денежными средствами, находящимися на транзитном счете, без предварительного согласия Специализированного депозитария;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3) использовать имущество, составляющее Фонд, для обеспечения исполнения собственных обязательств, не связанных с доверительным управлением Фондом, или для обеспечения исполнения обязатель</w:t>
            </w:r>
            <w:proofErr w:type="gramStart"/>
            <w:r w:rsidRPr="00334E16">
              <w:rPr>
                <w:rFonts w:ascii="Times New Roman" w:hAnsi="Times New Roman"/>
              </w:rPr>
              <w:t>ств тр</w:t>
            </w:r>
            <w:proofErr w:type="gramEnd"/>
            <w:r w:rsidRPr="00334E16">
              <w:rPr>
                <w:rFonts w:ascii="Times New Roman" w:hAnsi="Times New Roman"/>
              </w:rPr>
              <w:t>етьих лиц;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4) взимать проценты за пользование денежными средствами Управляющей компании, предоставленными для выплаты денежной компенсации владельцам инвестиционных паев в случае недостаточности денежных средств, составляющих Фонд;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5) совершать следующие сделки или давать поручения на совершение следующих сделок: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а) сделки по приобретению за счет имущества, составляющего Фонд, объектов, не предусмотренных Федеральным законом «Об инвестиционных фондах», нормативными актами в сфере финансовых рынков, инвестиционной декларацией Фонда;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б) сделки по безвозмездному отчуждению имущества, составляющего Фонд;</w:t>
            </w:r>
          </w:p>
          <w:p w:rsidR="00334E16" w:rsidRPr="00334E16" w:rsidRDefault="00334E16" w:rsidP="00334E1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в) сделки, в результате которых Управляющей компанией принимается обязанность по передаче имущества, которое в момент принятия такой обязанности не составляет Фонд, за исключением сделок, совершаемых на организованных торгах при условии осуществления клиринга по таким сделкам;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г) сделки по приобретению имущества, являющегося предметом залога или иного обеспечения, в результате которых в состав Фонда включается имущество, являющееся предметом залога или иного обеспечения;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д</w:t>
            </w:r>
            <w:proofErr w:type="spellEnd"/>
            <w:r w:rsidRPr="00334E16">
              <w:rPr>
                <w:rFonts w:ascii="Times New Roman" w:hAnsi="Times New Roman"/>
              </w:rPr>
              <w:t>) договоры займа или кредитные договоры, возврат денежных средств по которым осуществляется за счет имущества Фонда, за исключением случаев получения денежных сре</w:t>
            </w:r>
            <w:proofErr w:type="gramStart"/>
            <w:r w:rsidRPr="00334E16">
              <w:rPr>
                <w:rFonts w:ascii="Times New Roman" w:hAnsi="Times New Roman"/>
              </w:rPr>
              <w:t>дств дл</w:t>
            </w:r>
            <w:proofErr w:type="gramEnd"/>
            <w:r w:rsidRPr="00334E16">
              <w:rPr>
                <w:rFonts w:ascii="Times New Roman" w:hAnsi="Times New Roman"/>
              </w:rPr>
              <w:t xml:space="preserve">я погашения инвестиционных паев при недостаточности денежных средств, составляющих Фонд. При этом совокупный объем задолженности, подлежащей погашению за счет имущества, составляющего Фонд, по всем договорам займа и кредитным договорам не должен превышать 20 (Двадцати) процентов </w:t>
            </w:r>
            <w:r w:rsidRPr="00334E16">
              <w:rPr>
                <w:rFonts w:ascii="Times New Roman" w:hAnsi="Times New Roman"/>
              </w:rPr>
              <w:lastRenderedPageBreak/>
              <w:t>стоимости чистых активов Фонда, а срок привлечения заемных средств по каждому договору займа и кредитному договору (включая срок продления) не может превышать 6 (Шесть) месяцев;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 xml:space="preserve">е) сделки </w:t>
            </w:r>
            <w:proofErr w:type="spellStart"/>
            <w:r w:rsidRPr="00334E16">
              <w:rPr>
                <w:rFonts w:ascii="Times New Roman" w:hAnsi="Times New Roman"/>
              </w:rPr>
              <w:t>репо</w:t>
            </w:r>
            <w:proofErr w:type="spellEnd"/>
            <w:r w:rsidRPr="00334E16">
              <w:rPr>
                <w:rFonts w:ascii="Times New Roman" w:hAnsi="Times New Roman"/>
              </w:rPr>
              <w:t>, подлежащие исполнению за счет имущества Фонда;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ж) сделки по приобретению в состав Фонда имущества, находящегося у Управляющей компании в доверительном управлении по иным договорам, и имущества, составляющего активы акционерного инвестиционного фонда, в котором Управляющая компания выполняет функции единоличного исполнительного органа;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з</w:t>
            </w:r>
            <w:proofErr w:type="spellEnd"/>
            <w:r w:rsidRPr="00334E16">
              <w:rPr>
                <w:rFonts w:ascii="Times New Roman" w:hAnsi="Times New Roman"/>
              </w:rPr>
              <w:t>) сделки по отчуждению имущества, составляющего Фонд, в состав имущества, находящегося у Управляющей компании в доверительном управлении по иным договорам, или в состав имущества, составляющего активы акционерного инвестиционного фонда, в котором Управляющая компания выполняет функции единоличного исполнительного органа;</w:t>
            </w:r>
          </w:p>
          <w:p w:rsidR="00334E16" w:rsidRPr="006452A3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BB1D29">
              <w:rPr>
                <w:rFonts w:ascii="Times New Roman" w:hAnsi="Times New Roman"/>
              </w:rPr>
              <w:t>и) 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Регистратором;</w:t>
            </w:r>
          </w:p>
          <w:p w:rsidR="00334E16" w:rsidRPr="006452A3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6452A3">
              <w:rPr>
                <w:rFonts w:ascii="Times New Roman" w:hAnsi="Times New Roman"/>
              </w:rPr>
              <w:t>к) сделки по приобретению в состав Фонда имущества, принадлежащего Управляющей компании, ее участникам, основным и преобладающим хозяйственным обществам ее участников, ее дочерним и зависимым обществам, либо по отчуждению имущества, составляющего Фонд, указанным лицам;</w:t>
            </w:r>
          </w:p>
          <w:p w:rsidR="00334E16" w:rsidRPr="00BB1D29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6452A3">
              <w:rPr>
                <w:rFonts w:ascii="Times New Roman" w:hAnsi="Times New Roman"/>
              </w:rPr>
              <w:t>л</w:t>
            </w:r>
            <w:r w:rsidRPr="00BB1D29">
              <w:rPr>
                <w:rFonts w:ascii="Times New Roman" w:hAnsi="Times New Roman"/>
              </w:rPr>
              <w:t>) сделки по приобретению в состав Фонда имущества у Специализированного депозитария, Оценщика, с которыми Управляющей компанией заключены договоры, и владельцев инвестиционных паев,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102 настоящих Правил, а также иных случаев, предусмотренных настоящими Правилами;</w:t>
            </w:r>
            <w:proofErr w:type="gramEnd"/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 xml:space="preserve">м) сделки по передаче имущества, </w:t>
            </w:r>
            <w:r w:rsidRPr="00334E16">
              <w:rPr>
                <w:rFonts w:ascii="Times New Roman" w:hAnsi="Times New Roman"/>
              </w:rPr>
              <w:lastRenderedPageBreak/>
              <w:t>составляющего Фонд, в пользование владельцам инвестиционных паев;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334E16">
              <w:rPr>
                <w:rFonts w:ascii="Times New Roman" w:hAnsi="Times New Roman"/>
              </w:rPr>
              <w:t>н</w:t>
            </w:r>
            <w:proofErr w:type="spellEnd"/>
            <w:r w:rsidRPr="00334E16">
              <w:rPr>
                <w:rFonts w:ascii="Times New Roman" w:hAnsi="Times New Roman"/>
              </w:rPr>
              <w:t>) сделки по приобретению в состав Фонда ценных бумаг, выпущенных (выданных) Управляющей компанией, а также акционерным инвестиционным фондом,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компания.</w:t>
            </w:r>
          </w:p>
          <w:p w:rsidR="00334E16" w:rsidRPr="00334E16" w:rsidRDefault="00334E16" w:rsidP="00334E1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34E16">
              <w:rPr>
                <w:rFonts w:ascii="Times New Roman" w:hAnsi="Times New Roman"/>
              </w:rPr>
              <w:t>6) заключать договоры возмездного оказания услуг, подлежащие оплате за счет активов Фонда, в случаях, установленных нормативными актами в сфере финансовых рынков.</w:t>
            </w:r>
          </w:p>
          <w:p w:rsidR="00050852" w:rsidRPr="00131684" w:rsidRDefault="00050852" w:rsidP="00606F9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334E16" w:rsidRPr="00131684" w:rsidTr="0025220B">
        <w:trPr>
          <w:trHeight w:val="1430"/>
        </w:trPr>
        <w:tc>
          <w:tcPr>
            <w:tcW w:w="540" w:type="dxa"/>
          </w:tcPr>
          <w:p w:rsidR="00E00E7E" w:rsidRDefault="00E00E7E" w:rsidP="0025220B">
            <w:pPr>
              <w:spacing w:after="60"/>
              <w:jc w:val="center"/>
            </w:pPr>
            <w:r>
              <w:lastRenderedPageBreak/>
              <w:t>5</w:t>
            </w:r>
          </w:p>
          <w:p w:rsidR="00334E16" w:rsidRPr="006C3D33" w:rsidRDefault="00334E16" w:rsidP="0025220B">
            <w:pPr>
              <w:spacing w:after="60"/>
              <w:jc w:val="center"/>
            </w:pPr>
          </w:p>
        </w:tc>
        <w:tc>
          <w:tcPr>
            <w:tcW w:w="4602" w:type="dxa"/>
          </w:tcPr>
          <w:p w:rsidR="00334E16" w:rsidRPr="006C3D33" w:rsidRDefault="00334E16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Общее количество выданных Управляющей компанией инвестиционных паев составляет </w:t>
            </w:r>
            <w:r>
              <w:rPr>
                <w:rFonts w:ascii="Times New Roman" w:hAnsi="Times New Roman"/>
                <w:b/>
                <w:bCs/>
              </w:rPr>
              <w:t xml:space="preserve">1 369, 36800 (Одна тысяча триста шестьдесят девять 36800/100000) штук. </w:t>
            </w:r>
          </w:p>
        </w:tc>
        <w:tc>
          <w:tcPr>
            <w:tcW w:w="4961" w:type="dxa"/>
          </w:tcPr>
          <w:p w:rsidR="00334E16" w:rsidRPr="00131684" w:rsidRDefault="00334E16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Общее количество выданных Управляющей компанией инвестиционных паев составляет </w:t>
            </w:r>
            <w:r>
              <w:rPr>
                <w:rFonts w:ascii="Times New Roman" w:hAnsi="Times New Roman"/>
                <w:b/>
                <w:bCs/>
              </w:rPr>
              <w:t xml:space="preserve">1 095, 49440 (Одна тысяча девяносто пять 49440/100000) штук. </w:t>
            </w:r>
          </w:p>
        </w:tc>
      </w:tr>
      <w:tr w:rsidR="00DD7B57" w:rsidRPr="00131684" w:rsidTr="0025220B">
        <w:trPr>
          <w:trHeight w:val="1430"/>
        </w:trPr>
        <w:tc>
          <w:tcPr>
            <w:tcW w:w="540" w:type="dxa"/>
          </w:tcPr>
          <w:p w:rsidR="00DD7B57" w:rsidRPr="006C3D33" w:rsidRDefault="00D50561" w:rsidP="00D50561">
            <w:pPr>
              <w:spacing w:after="60"/>
              <w:jc w:val="center"/>
            </w:pPr>
            <w:r>
              <w:t>6</w:t>
            </w:r>
          </w:p>
        </w:tc>
        <w:tc>
          <w:tcPr>
            <w:tcW w:w="4602" w:type="dxa"/>
          </w:tcPr>
          <w:p w:rsidR="00DD7B57" w:rsidRPr="00DD7B57" w:rsidRDefault="00DD7B57" w:rsidP="00DD7B5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D7B57">
              <w:rPr>
                <w:rFonts w:ascii="Times New Roman" w:hAnsi="Times New Roman"/>
              </w:rPr>
              <w:t>42. Инвестиционные паи свободно обращаются по завершении формирования Фонда.</w:t>
            </w:r>
          </w:p>
          <w:p w:rsidR="00DD7B57" w:rsidRPr="006C3D33" w:rsidRDefault="00DD7B57" w:rsidP="009F469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D7B57">
              <w:rPr>
                <w:rFonts w:ascii="Times New Roman" w:hAnsi="Times New Roman"/>
              </w:rPr>
              <w:t>Специализированный депозитарий, Регистратор, Аудиторская организация и Оценщик не могут являться владельцами инвестиционных паев.</w:t>
            </w:r>
          </w:p>
        </w:tc>
        <w:tc>
          <w:tcPr>
            <w:tcW w:w="4961" w:type="dxa"/>
          </w:tcPr>
          <w:p w:rsidR="00DD7B57" w:rsidRPr="009F4691" w:rsidRDefault="00DD7B57" w:rsidP="00DD7B5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9F4691">
              <w:rPr>
                <w:rFonts w:ascii="Times New Roman" w:hAnsi="Times New Roman"/>
              </w:rPr>
              <w:t>42. Инвестиционные паи свободно обращаются по завершении формирования Фонда.</w:t>
            </w:r>
          </w:p>
          <w:p w:rsidR="00DD7B57" w:rsidRPr="00DD7B57" w:rsidRDefault="00DD7B57" w:rsidP="00DD7B5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9F4691">
              <w:rPr>
                <w:rFonts w:ascii="Times New Roman" w:hAnsi="Times New Roman"/>
              </w:rPr>
              <w:t>Специализированный депозитарий, Регистратор и Оценщик не могут являться владельцами инвестиционных паев.</w:t>
            </w:r>
          </w:p>
          <w:p w:rsidR="00DD7B57" w:rsidRPr="00131684" w:rsidRDefault="00DD7B57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DD7B57" w:rsidRPr="00131684" w:rsidTr="0025220B">
        <w:trPr>
          <w:trHeight w:val="1430"/>
        </w:trPr>
        <w:tc>
          <w:tcPr>
            <w:tcW w:w="540" w:type="dxa"/>
          </w:tcPr>
          <w:p w:rsidR="00DD7B57" w:rsidRPr="006C3D33" w:rsidRDefault="00D50561" w:rsidP="00D50561">
            <w:pPr>
              <w:spacing w:after="60"/>
              <w:jc w:val="center"/>
            </w:pPr>
            <w:r>
              <w:t>7</w:t>
            </w:r>
          </w:p>
        </w:tc>
        <w:tc>
          <w:tcPr>
            <w:tcW w:w="4602" w:type="dxa"/>
          </w:tcPr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45. Общее собрание владельцев инвестиционных паев (далее – Общее собрание) принимает решения по вопросам: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1) утверждения изменений, которые вносятся в настоящие Правила, связанных: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D322D3">
              <w:rPr>
                <w:rFonts w:ascii="Times New Roman" w:hAnsi="Times New Roman"/>
              </w:rPr>
              <w:t xml:space="preserve">с изменением инвестиционной декларации Фонда, за исключением случаев, когда такие изменения обусловлены изменениями нормативных актов в сфере финансовых рынков, устанавливающих дополнительные </w:t>
            </w:r>
            <w:r w:rsidRPr="00D322D3">
              <w:rPr>
                <w:rFonts w:ascii="Times New Roman" w:hAnsi="Times New Roman"/>
              </w:rPr>
              <w:lastRenderedPageBreak/>
              <w:t>ограничения состава и структуры активов паевых инвестиционных фондов;</w:t>
            </w:r>
            <w:proofErr w:type="gramEnd"/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увеличением размера вознаграждения Управляющей компании, Специализированного депозитария, Регистратора, Аудиторской организации и Оценщика;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расширением перечня расходов Управляющей компании, подлежащих оплате за счет имущества, составляющего Фонд, за исключением расходов, связанных с уплатой и (или) возмещением сумм уплаченных Управляющей компанией налогов и иных обязательных платежей за счет имущества, составляющего Фонд;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введением скидок в связи с погашением инвестиционных паев или увеличением их размеров;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типа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определением количества дополнительных инвестиционных паев;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категории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установлением или исключением права владельцев инвестиционных паев на получение дохода от доверительного управления Фондом;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порядка определения размера дохода от доверительного управления Фондом, доля которого распределяется между владельцами инвестиционных паев, а также с изменением доли указанного дохода (порядка ее определения) и срока его выплаты;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срока действия договора доверительного управления Фондом;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увеличением размера вознаграждения лица, осуществляющего прекращение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количества голосов, необходимых для принятия решения Общим собранием;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введением,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погашении.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lastRenderedPageBreak/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DD7B57" w:rsidRPr="006C3D33" w:rsidRDefault="00D322D3" w:rsidP="009F469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3) досрочного прекращения или продления срока действия договора доверительного управления Фондом.</w:t>
            </w:r>
          </w:p>
        </w:tc>
        <w:tc>
          <w:tcPr>
            <w:tcW w:w="4961" w:type="dxa"/>
          </w:tcPr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lastRenderedPageBreak/>
              <w:t>45. Общее собрание владельцев инвестиционных паев (далее – Общее собрание) принимает решения по вопросам: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1) утверждения изменений, которые вносятся в настоящие Правила, связанных: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инвестиционной декларации Фонда, за исключением случаев, когда такие изменения обусловлены изменениями нормативных актов в сфере финансовых рынков, устанавливающих дополнительные ограничения состава и структуры активов паевых инвестиционных фондов;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lastRenderedPageBreak/>
              <w:t>с увеличением размера вознаграждения Управляющей компании, Специализированного депозитария, Регистратора и Оценщика;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расширением перечня расходов Управляющей компании, подлежащих оплате за счет имущества, составляющего Фонд, за исключением расходов, связанных с уплатой и (или) возмещением сумм уплаченных Управляющей компанией налогов и иных обязательных платежей за счет имущества, составляющего Фонд;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введением скидок в связи с погашением инвестиционных паев или увеличением их размеров;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типа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определением количества дополнительных инвестиционных паев;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категории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установлением или исключением права владельцев инвестиционных паев на получение дохода от доверительного управления Фондом;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порядка определения размера дохода от доверительного управления Фондом, доля которого распределяется между владельцами инвестиционных паев, а также с изменением доли указанного дохода (порядка ее определения) и срока его выплаты;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срока действия договора доверительного управления Фондом;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увеличением размера вознаграждения лица, осуществляющего прекращение Фонда;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изменением количества голосов, необходимых для принятия решения Общим собранием;</w:t>
            </w:r>
          </w:p>
          <w:p w:rsid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с введением,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</w:t>
            </w:r>
            <w:r w:rsidR="00154C5C">
              <w:rPr>
                <w:rFonts w:ascii="Times New Roman" w:hAnsi="Times New Roman"/>
              </w:rPr>
              <w:t>;</w:t>
            </w:r>
          </w:p>
          <w:p w:rsidR="00154C5C" w:rsidRPr="00154C5C" w:rsidRDefault="00154C5C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BB1D29">
              <w:rPr>
                <w:rFonts w:ascii="Times New Roman" w:hAnsi="Times New Roman"/>
              </w:rPr>
              <w:t>с введением или изменением положений, направленных на раскрытие или предоставление информации о конфликте интересов управляющей компании, специализированного депозитария;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D322D3" w:rsidRP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D322D3">
              <w:rPr>
                <w:rFonts w:ascii="Times New Roman" w:hAnsi="Times New Roman"/>
              </w:rPr>
              <w:lastRenderedPageBreak/>
              <w:t>3) досрочного прекращения или продления срока действия договора доверительного управления Фондом.</w:t>
            </w:r>
          </w:p>
          <w:p w:rsidR="00DD7B57" w:rsidRPr="00131684" w:rsidRDefault="00DD7B57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13B41" w:rsidRPr="00131684" w:rsidTr="0025220B">
        <w:trPr>
          <w:trHeight w:val="1430"/>
        </w:trPr>
        <w:tc>
          <w:tcPr>
            <w:tcW w:w="540" w:type="dxa"/>
          </w:tcPr>
          <w:p w:rsidR="00213B41" w:rsidRPr="006C3D33" w:rsidRDefault="00D50561" w:rsidP="00D50561">
            <w:pPr>
              <w:spacing w:after="60"/>
              <w:jc w:val="center"/>
            </w:pPr>
            <w:r>
              <w:lastRenderedPageBreak/>
              <w:t>8</w:t>
            </w:r>
          </w:p>
        </w:tc>
        <w:tc>
          <w:tcPr>
            <w:tcW w:w="4602" w:type="dxa"/>
          </w:tcPr>
          <w:p w:rsidR="00213B41" w:rsidRPr="006C3D33" w:rsidRDefault="00213B41" w:rsidP="009F469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213B41">
              <w:rPr>
                <w:rFonts w:ascii="Times New Roman" w:hAnsi="Times New Roman"/>
              </w:rPr>
              <w:t xml:space="preserve">99. За счет имущества, составляющего Фонд, выплачиваются вознаграждения Управляющей компании в размере </w:t>
            </w:r>
            <w:r w:rsidRPr="00213B41">
              <w:rPr>
                <w:rFonts w:ascii="Times New Roman" w:hAnsi="Times New Roman"/>
                <w:b/>
              </w:rPr>
              <w:t>0,75 (Ноль целых семьдесят пять сотых) процента</w:t>
            </w:r>
            <w:r w:rsidRPr="00213B41">
              <w:rPr>
                <w:rFonts w:ascii="Times New Roman" w:hAnsi="Times New Roman"/>
              </w:rPr>
              <w:t xml:space="preserve"> среднегодовой стоимости чистых активов Фонда, а также Специализированному депозитарию, Регистратору, Аудиторской организации и Оценщику в размере не более </w:t>
            </w:r>
            <w:r w:rsidRPr="00213B41">
              <w:rPr>
                <w:rFonts w:ascii="Times New Roman" w:hAnsi="Times New Roman"/>
                <w:b/>
              </w:rPr>
              <w:t>0,25 (Ноль целых двадцать пять сотых) процента</w:t>
            </w:r>
            <w:r w:rsidRPr="00213B41">
              <w:rPr>
                <w:rFonts w:ascii="Times New Roman" w:hAnsi="Times New Roman"/>
              </w:rPr>
              <w:t xml:space="preserve"> (включая НДС)  среднегодовой стоимости чистых активов Фонда.</w:t>
            </w:r>
          </w:p>
        </w:tc>
        <w:tc>
          <w:tcPr>
            <w:tcW w:w="4961" w:type="dxa"/>
          </w:tcPr>
          <w:p w:rsidR="00213B41" w:rsidRPr="00131684" w:rsidRDefault="00213B41" w:rsidP="009F469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213B41">
              <w:rPr>
                <w:rFonts w:ascii="Times New Roman" w:hAnsi="Times New Roman"/>
              </w:rPr>
              <w:t xml:space="preserve">99. За счет имущества, составляющего Фонд, выплачиваются вознаграждения Управляющей компании в размере </w:t>
            </w:r>
            <w:r w:rsidRPr="00213B41">
              <w:rPr>
                <w:rFonts w:ascii="Times New Roman" w:hAnsi="Times New Roman"/>
                <w:b/>
              </w:rPr>
              <w:t>0,75 (Ноль целых семьдесят пять сотых) процента</w:t>
            </w:r>
            <w:r w:rsidRPr="00213B41">
              <w:rPr>
                <w:rFonts w:ascii="Times New Roman" w:hAnsi="Times New Roman"/>
              </w:rPr>
              <w:t xml:space="preserve"> среднегодовой стоимости чистых активов Фонда, а также Специализированному депозитарию, Регистратору и Оценщику в размере не более </w:t>
            </w:r>
            <w:r w:rsidRPr="00213B41">
              <w:rPr>
                <w:rFonts w:ascii="Times New Roman" w:hAnsi="Times New Roman"/>
                <w:b/>
              </w:rPr>
              <w:t>0,25 (Ноль целых двадцать пять сотых) процента</w:t>
            </w:r>
            <w:r w:rsidRPr="00213B41">
              <w:rPr>
                <w:rFonts w:ascii="Times New Roman" w:hAnsi="Times New Roman"/>
              </w:rPr>
              <w:t xml:space="preserve"> (включая НДС)  среднегодовой стоимости чистых активов Фонда.</w:t>
            </w:r>
          </w:p>
        </w:tc>
      </w:tr>
      <w:tr w:rsidR="00213B41" w:rsidRPr="00131684" w:rsidTr="0025220B">
        <w:trPr>
          <w:trHeight w:val="1430"/>
        </w:trPr>
        <w:tc>
          <w:tcPr>
            <w:tcW w:w="540" w:type="dxa"/>
          </w:tcPr>
          <w:p w:rsidR="00213B41" w:rsidRPr="006C3D33" w:rsidRDefault="00D50561" w:rsidP="00D50561">
            <w:pPr>
              <w:spacing w:after="60"/>
              <w:jc w:val="center"/>
            </w:pPr>
            <w:r>
              <w:t>9</w:t>
            </w:r>
          </w:p>
        </w:tc>
        <w:tc>
          <w:tcPr>
            <w:tcW w:w="4602" w:type="dxa"/>
          </w:tcPr>
          <w:p w:rsidR="00213B41" w:rsidRPr="006C3D33" w:rsidRDefault="00213B41" w:rsidP="00213B4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213B41">
              <w:rPr>
                <w:rFonts w:ascii="Times New Roman" w:hAnsi="Times New Roman"/>
              </w:rPr>
              <w:t xml:space="preserve">101. Вознаграждение Специализированному депозитарию, Регистратору, Аудиторской организации и Оценщику выплачивается в срок, предусмотренный в договорах между ними и Управляющей компанией. </w:t>
            </w:r>
          </w:p>
        </w:tc>
        <w:tc>
          <w:tcPr>
            <w:tcW w:w="4961" w:type="dxa"/>
          </w:tcPr>
          <w:p w:rsidR="00213B41" w:rsidRPr="00213B41" w:rsidRDefault="00213B41" w:rsidP="00213B4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/>
              </w:rPr>
            </w:pPr>
            <w:r w:rsidRPr="00213B41">
              <w:rPr>
                <w:rFonts w:ascii="Times New Roman" w:hAnsi="Times New Roman"/>
              </w:rPr>
              <w:t xml:space="preserve">101. Вознаграждение Специализированному депозитарию, Регистратору и Оценщику выплачивается в срок, предусмотренный в договорах между ними и Управляющей компанией. </w:t>
            </w:r>
          </w:p>
          <w:p w:rsidR="00213B41" w:rsidRPr="00131684" w:rsidRDefault="00213B41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909FB" w:rsidRPr="00131684" w:rsidTr="0025220B">
        <w:trPr>
          <w:trHeight w:val="1430"/>
        </w:trPr>
        <w:tc>
          <w:tcPr>
            <w:tcW w:w="540" w:type="dxa"/>
          </w:tcPr>
          <w:p w:rsidR="002909FB" w:rsidRPr="006C3D33" w:rsidRDefault="002909FB" w:rsidP="00D50561">
            <w:pPr>
              <w:spacing w:after="60"/>
              <w:jc w:val="center"/>
            </w:pPr>
            <w:r>
              <w:t>1</w:t>
            </w:r>
            <w:r w:rsidR="00D50561">
              <w:t>0</w:t>
            </w:r>
          </w:p>
        </w:tc>
        <w:tc>
          <w:tcPr>
            <w:tcW w:w="4602" w:type="dxa"/>
          </w:tcPr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 xml:space="preserve">118. 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 составляет </w:t>
            </w:r>
            <w:r w:rsidRPr="005D38E1">
              <w:rPr>
                <w:rFonts w:ascii="Times New Roman" w:hAnsi="Times New Roman"/>
                <w:b/>
                <w:lang w:eastAsia="en-US"/>
              </w:rPr>
              <w:t>0,1 (Ноль целых одна десятая) процента</w:t>
            </w:r>
            <w:r w:rsidRPr="005D38E1">
              <w:rPr>
                <w:rFonts w:ascii="Times New Roman" w:hAnsi="Times New Roman"/>
              </w:rPr>
              <w:t xml:space="preserve">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2) размера вознаграждений Управляющей компании, Специализированного депозитария, Регистратора, Аудиторской организации и Оценщика, начисленных им на день возникновения основания прекращения Фонда;</w:t>
            </w:r>
          </w:p>
          <w:p w:rsidR="002909FB" w:rsidRPr="006C3D33" w:rsidRDefault="005D38E1" w:rsidP="009F46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  <w:tc>
          <w:tcPr>
            <w:tcW w:w="4961" w:type="dxa"/>
          </w:tcPr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 xml:space="preserve">118. 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 составляет </w:t>
            </w:r>
            <w:r w:rsidRPr="005D38E1">
              <w:rPr>
                <w:rFonts w:ascii="Times New Roman" w:hAnsi="Times New Roman"/>
                <w:b/>
                <w:lang w:eastAsia="en-US"/>
              </w:rPr>
              <w:t>0,1 (Ноль целых одна десятая) процента</w:t>
            </w:r>
            <w:r w:rsidRPr="005D38E1">
              <w:rPr>
                <w:rFonts w:ascii="Times New Roman" w:hAnsi="Times New Roman"/>
              </w:rPr>
              <w:t xml:space="preserve">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2) размера вознаграждений Управляющей компании, Специализированного депозитария, Регистратора и Оценщика, начисленных им на день возникновения основания прекращения Фонда;</w:t>
            </w:r>
          </w:p>
          <w:p w:rsidR="005D38E1" w:rsidRPr="005D38E1" w:rsidRDefault="005D38E1" w:rsidP="005D38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hAnsi="Times New Roman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  <w:p w:rsidR="002909FB" w:rsidRPr="00131684" w:rsidRDefault="002909FB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5D38E1" w:rsidRPr="00131684" w:rsidTr="0025220B">
        <w:trPr>
          <w:trHeight w:val="1430"/>
        </w:trPr>
        <w:tc>
          <w:tcPr>
            <w:tcW w:w="540" w:type="dxa"/>
          </w:tcPr>
          <w:p w:rsidR="005D38E1" w:rsidRPr="006C3D33" w:rsidRDefault="005D38E1" w:rsidP="00D50561">
            <w:pPr>
              <w:spacing w:after="60"/>
              <w:jc w:val="center"/>
            </w:pPr>
            <w:r>
              <w:lastRenderedPageBreak/>
              <w:t>1</w:t>
            </w:r>
            <w:r w:rsidR="00D50561">
              <w:t>1</w:t>
            </w:r>
          </w:p>
        </w:tc>
        <w:tc>
          <w:tcPr>
            <w:tcW w:w="4602" w:type="dxa"/>
          </w:tcPr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123. Изменения, которые вносятся в настоящие Правила, вступают в силу по истечении 1 (Одного) месяца со дня раскрытия сообщения о регистрации таких изменений Банком России, если они связаны: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1) с изменением инвестиционной декларации Фонда;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2) с увеличением размера вознаграждения Управляющей компании, Специализированного депозитария, Регистратора, Аудиторской организации и Оценщика;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3) с увеличением расходов и (или) расширением перечня расходов, подлежащих оплате за счет имущества, составляющего Фонд;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4) с введением скидок в связи с погашением инвестиционных паев или увеличением их размеров;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5) с изменением типа Фонда;</w:t>
            </w:r>
          </w:p>
          <w:p w:rsidR="005D38E1" w:rsidRPr="006C3D33" w:rsidRDefault="005D38E1" w:rsidP="009F469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6) с иными изменениями, предусмотренными нормативными актами в сфере финансовых рынков.</w:t>
            </w:r>
          </w:p>
        </w:tc>
        <w:tc>
          <w:tcPr>
            <w:tcW w:w="4961" w:type="dxa"/>
          </w:tcPr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123. Изменения, которые вносятся в настоящие Правила, вступают в силу по истечении 1 (Одного) месяца со дня раскрытия сообщения о регистрации таких изменений Банком России, если они связаны: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1) с изменением инвестиционной декларации Фонда;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2) с увеличением размера вознаграждения Управляющей компании, Специализированного депозитария, Регистратора и Оценщика;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3) с увеличением расходов и (или) расширением перечня расходов, подлежащих оплате за счет имущества, составляющего Фонд;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4) с введением скидок в связи с погашением инвестиционных паев или увеличением их размеров;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5) с изменением типа Фонда;</w:t>
            </w:r>
          </w:p>
          <w:p w:rsidR="005D38E1" w:rsidRPr="005D38E1" w:rsidRDefault="005D38E1" w:rsidP="005D38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5D38E1">
              <w:rPr>
                <w:rFonts w:ascii="Times New Roman" w:eastAsia="SimSun" w:hAnsi="Times New Roman"/>
                <w:lang w:eastAsia="zh-CN"/>
              </w:rPr>
              <w:t>6) с иными изменениями, предусмотренными нормативными актами в сфере финансовых рынков.</w:t>
            </w:r>
          </w:p>
          <w:p w:rsidR="005D38E1" w:rsidRPr="00131684" w:rsidRDefault="005D38E1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5D38E1" w:rsidRPr="00131684" w:rsidTr="0025220B">
        <w:trPr>
          <w:trHeight w:val="1430"/>
        </w:trPr>
        <w:tc>
          <w:tcPr>
            <w:tcW w:w="540" w:type="dxa"/>
          </w:tcPr>
          <w:p w:rsidR="005D38E1" w:rsidRPr="006C3D33" w:rsidRDefault="005D38E1" w:rsidP="00D50561">
            <w:pPr>
              <w:spacing w:after="60"/>
              <w:jc w:val="center"/>
            </w:pPr>
            <w:r>
              <w:t>1</w:t>
            </w:r>
            <w:r w:rsidR="00D50561">
              <w:t>2</w:t>
            </w:r>
          </w:p>
        </w:tc>
        <w:tc>
          <w:tcPr>
            <w:tcW w:w="4602" w:type="dxa"/>
          </w:tcPr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124. Изменения, которые вносятся в настоящие Правила, вступают в силу со дня их регистрации Банком России, если они касаются: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1) изменения наименований Управляющей компании, Специализированного депозитария, Регистратора, Аудиторской организации и Оценщика, а также иных сведений об указанных лицах;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2) количества выданных инвестиционных паев;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3) уменьшения размера вознаграждения Управляющей компании, Специализированного депозитария, Регистратора, Аудиторской организации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4) отмены скидок (надбавок) или уменьшения их размеров;</w:t>
            </w:r>
          </w:p>
          <w:p w:rsidR="005D38E1" w:rsidRPr="006C3D33" w:rsidRDefault="003407CB" w:rsidP="009F469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5) иных положений, предусмотренных нормативными актами в сфере финансовых рынков.</w:t>
            </w:r>
          </w:p>
        </w:tc>
        <w:tc>
          <w:tcPr>
            <w:tcW w:w="4961" w:type="dxa"/>
          </w:tcPr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124. Изменения, которые вносятся в настоящие Правила, вступают в силу со дня их регистрации Банком России, если они касаются: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1) изменения наименований Управляющей компании, Специализированного депозитария, Регистратора и Оценщика, а также иных сведений об указанных лицах;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2) количества выданных инвестиционных паев;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3) уменьшения размера вознаграждения Управляющей компании, Специализированного депозитария, Регистратора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4) отмены скидок (надбавок) или уменьшения их размеров;</w:t>
            </w:r>
          </w:p>
          <w:p w:rsidR="003407CB" w:rsidRPr="003407CB" w:rsidRDefault="003407CB" w:rsidP="0034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407CB">
              <w:rPr>
                <w:rFonts w:ascii="Times New Roman" w:eastAsia="SimSun" w:hAnsi="Times New Roman"/>
                <w:lang w:eastAsia="zh-CN"/>
              </w:rPr>
              <w:t>5) иных положений, предусмотренных нормативными актами в сфере финансовых рынков.</w:t>
            </w:r>
          </w:p>
          <w:p w:rsidR="005D38E1" w:rsidRPr="00131684" w:rsidRDefault="005D38E1" w:rsidP="0025220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5D38E1" w:rsidRDefault="005D38E1" w:rsidP="005D38E1">
      <w:pPr>
        <w:pStyle w:val="prg3"/>
        <w:tabs>
          <w:tab w:val="clear" w:pos="360"/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D38E1" w:rsidRDefault="005D38E1" w:rsidP="005D38E1">
      <w:pPr>
        <w:pStyle w:val="prg3"/>
        <w:tabs>
          <w:tab w:val="clear" w:pos="360"/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34E16" w:rsidRDefault="00334E16" w:rsidP="002F0506">
      <w:pPr>
        <w:pStyle w:val="prg3"/>
        <w:tabs>
          <w:tab w:val="clear" w:pos="360"/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2F0506" w:rsidRDefault="002F0506" w:rsidP="002F0506">
      <w:pPr>
        <w:pStyle w:val="prg3"/>
        <w:tabs>
          <w:tab w:val="clear" w:pos="360"/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11E6A" w:rsidRPr="00D0251E" w:rsidRDefault="006C7086" w:rsidP="009D04B2">
      <w:pPr>
        <w:pStyle w:val="prg3"/>
        <w:tabs>
          <w:tab w:val="clear" w:pos="360"/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0251E">
        <w:rPr>
          <w:rFonts w:ascii="Times New Roman" w:hAnsi="Times New Roman" w:cs="Times New Roman"/>
          <w:b/>
          <w:kern w:val="0"/>
          <w:sz w:val="24"/>
          <w:szCs w:val="24"/>
        </w:rPr>
        <w:t>Генеральный директор</w:t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  <w:t xml:space="preserve">           </w:t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C52E5" w:rsidRPr="00D0251E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="00BA6D99" w:rsidRPr="00D0251E">
        <w:rPr>
          <w:rFonts w:ascii="Times New Roman" w:hAnsi="Times New Roman" w:cs="Times New Roman"/>
          <w:b/>
          <w:kern w:val="0"/>
          <w:sz w:val="24"/>
          <w:szCs w:val="24"/>
        </w:rPr>
        <w:t>Е</w:t>
      </w:r>
      <w:r w:rsidR="00B11E6A" w:rsidRPr="00D0251E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BA6D99" w:rsidRPr="00D0251E">
        <w:rPr>
          <w:rFonts w:ascii="Times New Roman" w:hAnsi="Times New Roman" w:cs="Times New Roman"/>
          <w:b/>
          <w:kern w:val="0"/>
          <w:sz w:val="24"/>
          <w:szCs w:val="24"/>
        </w:rPr>
        <w:t>В</w:t>
      </w:r>
      <w:r w:rsidR="00B11E6A" w:rsidRPr="00D0251E">
        <w:rPr>
          <w:rFonts w:ascii="Times New Roman" w:hAnsi="Times New Roman" w:cs="Times New Roman"/>
          <w:b/>
          <w:kern w:val="0"/>
          <w:sz w:val="24"/>
          <w:szCs w:val="24"/>
        </w:rPr>
        <w:t xml:space="preserve">. </w:t>
      </w:r>
      <w:r w:rsidR="00BA6D99" w:rsidRPr="00D0251E">
        <w:rPr>
          <w:rFonts w:ascii="Times New Roman" w:hAnsi="Times New Roman" w:cs="Times New Roman"/>
          <w:b/>
          <w:kern w:val="0"/>
          <w:sz w:val="24"/>
          <w:szCs w:val="24"/>
        </w:rPr>
        <w:t>Лебедева</w:t>
      </w:r>
    </w:p>
    <w:sectPr w:rsidR="00B11E6A" w:rsidRPr="00D0251E" w:rsidSect="006F444D">
      <w:footerReference w:type="default" r:id="rId11"/>
      <w:pgSz w:w="11906" w:h="16838"/>
      <w:pgMar w:top="567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6A" w:rsidRDefault="0086126A" w:rsidP="00FD4E4D">
      <w:r>
        <w:separator/>
      </w:r>
    </w:p>
  </w:endnote>
  <w:endnote w:type="continuationSeparator" w:id="0">
    <w:p w:rsidR="0086126A" w:rsidRDefault="0086126A" w:rsidP="00FD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A7" w:rsidRDefault="0096421C">
    <w:pPr>
      <w:pStyle w:val="ac"/>
      <w:jc w:val="right"/>
    </w:pPr>
    <w:fldSimple w:instr=" PAGE   \* MERGEFORMAT ">
      <w:r w:rsidR="00D640CB">
        <w:rPr>
          <w:noProof/>
        </w:rPr>
        <w:t>1</w:t>
      </w:r>
    </w:fldSimple>
  </w:p>
  <w:p w:rsidR="00D25CA7" w:rsidRDefault="00D25C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6A" w:rsidRDefault="0086126A" w:rsidP="00FD4E4D">
      <w:r>
        <w:separator/>
      </w:r>
    </w:p>
  </w:footnote>
  <w:footnote w:type="continuationSeparator" w:id="0">
    <w:p w:rsidR="0086126A" w:rsidRDefault="0086126A" w:rsidP="00FD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50E"/>
    <w:multiLevelType w:val="hybridMultilevel"/>
    <w:tmpl w:val="6F5824B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E97B51"/>
    <w:multiLevelType w:val="hybridMultilevel"/>
    <w:tmpl w:val="3F6447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AA5F48"/>
    <w:multiLevelType w:val="hybridMultilevel"/>
    <w:tmpl w:val="2D54448E"/>
    <w:lvl w:ilvl="0" w:tplc="C8DE61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CF00CA"/>
    <w:multiLevelType w:val="hybridMultilevel"/>
    <w:tmpl w:val="0D4ECEE6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B28BD"/>
    <w:multiLevelType w:val="hybridMultilevel"/>
    <w:tmpl w:val="3FF2AF2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033B55"/>
    <w:multiLevelType w:val="hybridMultilevel"/>
    <w:tmpl w:val="B3A8B9FC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32E90"/>
    <w:multiLevelType w:val="hybridMultilevel"/>
    <w:tmpl w:val="F2A2E7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96D0E"/>
    <w:multiLevelType w:val="hybridMultilevel"/>
    <w:tmpl w:val="01AC6FB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1B791E"/>
    <w:multiLevelType w:val="hybridMultilevel"/>
    <w:tmpl w:val="77B02F6A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82F67"/>
    <w:multiLevelType w:val="hybridMultilevel"/>
    <w:tmpl w:val="4EE2C7E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7347D5"/>
    <w:multiLevelType w:val="hybridMultilevel"/>
    <w:tmpl w:val="E87C9C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1752E0"/>
    <w:multiLevelType w:val="hybridMultilevel"/>
    <w:tmpl w:val="25D015C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EC1673"/>
    <w:multiLevelType w:val="hybridMultilevel"/>
    <w:tmpl w:val="F54E6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E3AF6"/>
    <w:multiLevelType w:val="hybridMultilevel"/>
    <w:tmpl w:val="3BBAAAC0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5E5A0D"/>
    <w:multiLevelType w:val="hybridMultilevel"/>
    <w:tmpl w:val="B74ECD16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6F5BCD"/>
    <w:multiLevelType w:val="hybridMultilevel"/>
    <w:tmpl w:val="1854B1EC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62B75"/>
    <w:multiLevelType w:val="hybridMultilevel"/>
    <w:tmpl w:val="E028F8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4326F14"/>
    <w:multiLevelType w:val="hybridMultilevel"/>
    <w:tmpl w:val="375067AA"/>
    <w:lvl w:ilvl="0" w:tplc="273EDF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09F348D"/>
    <w:multiLevelType w:val="hybridMultilevel"/>
    <w:tmpl w:val="8CC60B2C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684804"/>
    <w:multiLevelType w:val="hybridMultilevel"/>
    <w:tmpl w:val="E80CD284"/>
    <w:lvl w:ilvl="0" w:tplc="273E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158FF"/>
    <w:multiLevelType w:val="hybridMultilevel"/>
    <w:tmpl w:val="D794F3C2"/>
    <w:lvl w:ilvl="0" w:tplc="273E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A1A28"/>
    <w:multiLevelType w:val="hybridMultilevel"/>
    <w:tmpl w:val="80C0DB4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DC77F5"/>
    <w:multiLevelType w:val="hybridMultilevel"/>
    <w:tmpl w:val="743A5AF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6E10CB0"/>
    <w:multiLevelType w:val="hybridMultilevel"/>
    <w:tmpl w:val="C0E6C042"/>
    <w:lvl w:ilvl="0" w:tplc="C8DE61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8060F5"/>
    <w:multiLevelType w:val="hybridMultilevel"/>
    <w:tmpl w:val="E550DE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174BC0"/>
    <w:multiLevelType w:val="hybridMultilevel"/>
    <w:tmpl w:val="97AE80D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F281602"/>
    <w:multiLevelType w:val="hybridMultilevel"/>
    <w:tmpl w:val="1F44FA52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7">
    <w:nsid w:val="6F6B1853"/>
    <w:multiLevelType w:val="hybridMultilevel"/>
    <w:tmpl w:val="CA606266"/>
    <w:lvl w:ilvl="0" w:tplc="C8DE6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D6338"/>
    <w:multiLevelType w:val="hybridMultilevel"/>
    <w:tmpl w:val="5888AF48"/>
    <w:lvl w:ilvl="0" w:tplc="273EDF7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C27EF6"/>
    <w:multiLevelType w:val="hybridMultilevel"/>
    <w:tmpl w:val="5C50E3DA"/>
    <w:lvl w:ilvl="0" w:tplc="AFB4F7D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63F07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4E0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F46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92A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385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8AD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FE7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9E1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14"/>
  </w:num>
  <w:num w:numId="4">
    <w:abstractNumId w:val="8"/>
  </w:num>
  <w:num w:numId="5">
    <w:abstractNumId w:val="15"/>
  </w:num>
  <w:num w:numId="6">
    <w:abstractNumId w:val="3"/>
  </w:num>
  <w:num w:numId="7">
    <w:abstractNumId w:val="18"/>
  </w:num>
  <w:num w:numId="8">
    <w:abstractNumId w:val="5"/>
  </w:num>
  <w:num w:numId="9">
    <w:abstractNumId w:val="7"/>
  </w:num>
  <w:num w:numId="10">
    <w:abstractNumId w:val="22"/>
  </w:num>
  <w:num w:numId="11">
    <w:abstractNumId w:val="4"/>
  </w:num>
  <w:num w:numId="12">
    <w:abstractNumId w:val="16"/>
  </w:num>
  <w:num w:numId="13">
    <w:abstractNumId w:val="1"/>
  </w:num>
  <w:num w:numId="14">
    <w:abstractNumId w:val="6"/>
  </w:num>
  <w:num w:numId="15">
    <w:abstractNumId w:val="12"/>
  </w:num>
  <w:num w:numId="16">
    <w:abstractNumId w:val="24"/>
  </w:num>
  <w:num w:numId="17">
    <w:abstractNumId w:val="11"/>
  </w:num>
  <w:num w:numId="18">
    <w:abstractNumId w:val="9"/>
  </w:num>
  <w:num w:numId="19">
    <w:abstractNumId w:val="0"/>
  </w:num>
  <w:num w:numId="20">
    <w:abstractNumId w:val="10"/>
  </w:num>
  <w:num w:numId="21">
    <w:abstractNumId w:val="25"/>
  </w:num>
  <w:num w:numId="22">
    <w:abstractNumId w:val="29"/>
  </w:num>
  <w:num w:numId="23">
    <w:abstractNumId w:val="17"/>
  </w:num>
  <w:num w:numId="24">
    <w:abstractNumId w:val="19"/>
  </w:num>
  <w:num w:numId="25">
    <w:abstractNumId w:val="20"/>
  </w:num>
  <w:num w:numId="26">
    <w:abstractNumId w:val="21"/>
  </w:num>
  <w:num w:numId="27">
    <w:abstractNumId w:val="26"/>
  </w:num>
  <w:num w:numId="28">
    <w:abstractNumId w:val="2"/>
  </w:num>
  <w:num w:numId="29">
    <w:abstractNumId w:val="2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B2"/>
    <w:rsid w:val="000008DC"/>
    <w:rsid w:val="00001D83"/>
    <w:rsid w:val="0000246A"/>
    <w:rsid w:val="0000257E"/>
    <w:rsid w:val="000136CD"/>
    <w:rsid w:val="00013BE2"/>
    <w:rsid w:val="00017A0C"/>
    <w:rsid w:val="00032101"/>
    <w:rsid w:val="00033E59"/>
    <w:rsid w:val="000354DF"/>
    <w:rsid w:val="000358FE"/>
    <w:rsid w:val="00040189"/>
    <w:rsid w:val="0004183C"/>
    <w:rsid w:val="000430B3"/>
    <w:rsid w:val="00050852"/>
    <w:rsid w:val="000540C6"/>
    <w:rsid w:val="0005458F"/>
    <w:rsid w:val="000642D9"/>
    <w:rsid w:val="0006629D"/>
    <w:rsid w:val="00076255"/>
    <w:rsid w:val="000820BF"/>
    <w:rsid w:val="000825C0"/>
    <w:rsid w:val="00096A93"/>
    <w:rsid w:val="000A1924"/>
    <w:rsid w:val="000A27F4"/>
    <w:rsid w:val="000A3D13"/>
    <w:rsid w:val="000A5B54"/>
    <w:rsid w:val="000A6F21"/>
    <w:rsid w:val="000A7B3B"/>
    <w:rsid w:val="000B1BC5"/>
    <w:rsid w:val="000B1EA0"/>
    <w:rsid w:val="000B60AF"/>
    <w:rsid w:val="000D1FE3"/>
    <w:rsid w:val="000D3E8B"/>
    <w:rsid w:val="000D4553"/>
    <w:rsid w:val="000E51CB"/>
    <w:rsid w:val="000F7B62"/>
    <w:rsid w:val="00104957"/>
    <w:rsid w:val="001137DF"/>
    <w:rsid w:val="00122C3D"/>
    <w:rsid w:val="00126DE7"/>
    <w:rsid w:val="00131684"/>
    <w:rsid w:val="00131BF1"/>
    <w:rsid w:val="001334FD"/>
    <w:rsid w:val="0014453E"/>
    <w:rsid w:val="001509DA"/>
    <w:rsid w:val="00154C5C"/>
    <w:rsid w:val="00154C65"/>
    <w:rsid w:val="00155FBD"/>
    <w:rsid w:val="001568DA"/>
    <w:rsid w:val="00160A27"/>
    <w:rsid w:val="0016335E"/>
    <w:rsid w:val="0017160F"/>
    <w:rsid w:val="00175D4C"/>
    <w:rsid w:val="001766F1"/>
    <w:rsid w:val="001843CA"/>
    <w:rsid w:val="001845C5"/>
    <w:rsid w:val="001853C1"/>
    <w:rsid w:val="001858FF"/>
    <w:rsid w:val="00187921"/>
    <w:rsid w:val="00192476"/>
    <w:rsid w:val="00194508"/>
    <w:rsid w:val="001A1129"/>
    <w:rsid w:val="001A13C2"/>
    <w:rsid w:val="001B2203"/>
    <w:rsid w:val="001B6AF1"/>
    <w:rsid w:val="001C38A9"/>
    <w:rsid w:val="001D4DE1"/>
    <w:rsid w:val="001D52D9"/>
    <w:rsid w:val="001E13D1"/>
    <w:rsid w:val="001E319E"/>
    <w:rsid w:val="002035F3"/>
    <w:rsid w:val="00213B41"/>
    <w:rsid w:val="002155EE"/>
    <w:rsid w:val="00221F92"/>
    <w:rsid w:val="00227188"/>
    <w:rsid w:val="002461CD"/>
    <w:rsid w:val="002461D2"/>
    <w:rsid w:val="0025220B"/>
    <w:rsid w:val="00267F60"/>
    <w:rsid w:val="0027191F"/>
    <w:rsid w:val="002739DE"/>
    <w:rsid w:val="002909FB"/>
    <w:rsid w:val="0029650F"/>
    <w:rsid w:val="002A4BB7"/>
    <w:rsid w:val="002B4E86"/>
    <w:rsid w:val="002B5195"/>
    <w:rsid w:val="002B76C9"/>
    <w:rsid w:val="002C5644"/>
    <w:rsid w:val="002D09E2"/>
    <w:rsid w:val="002D3F77"/>
    <w:rsid w:val="002E7C9E"/>
    <w:rsid w:val="002F0506"/>
    <w:rsid w:val="002F2B40"/>
    <w:rsid w:val="002F4BA9"/>
    <w:rsid w:val="00303B46"/>
    <w:rsid w:val="00316202"/>
    <w:rsid w:val="003167EE"/>
    <w:rsid w:val="00321BA2"/>
    <w:rsid w:val="003236BC"/>
    <w:rsid w:val="00326CB2"/>
    <w:rsid w:val="00334E16"/>
    <w:rsid w:val="003407CB"/>
    <w:rsid w:val="003511F4"/>
    <w:rsid w:val="003516D2"/>
    <w:rsid w:val="00356A0B"/>
    <w:rsid w:val="003634ED"/>
    <w:rsid w:val="0036609A"/>
    <w:rsid w:val="003665CC"/>
    <w:rsid w:val="003716D4"/>
    <w:rsid w:val="003732E8"/>
    <w:rsid w:val="0037425B"/>
    <w:rsid w:val="003A5A24"/>
    <w:rsid w:val="003A5C1F"/>
    <w:rsid w:val="003C1091"/>
    <w:rsid w:val="003C2C9A"/>
    <w:rsid w:val="003C58E5"/>
    <w:rsid w:val="003D2820"/>
    <w:rsid w:val="003E3FDD"/>
    <w:rsid w:val="003E4607"/>
    <w:rsid w:val="003E68AA"/>
    <w:rsid w:val="003E76AA"/>
    <w:rsid w:val="003F4B32"/>
    <w:rsid w:val="00402A03"/>
    <w:rsid w:val="004037A5"/>
    <w:rsid w:val="00406790"/>
    <w:rsid w:val="004141A4"/>
    <w:rsid w:val="0041445D"/>
    <w:rsid w:val="00415F57"/>
    <w:rsid w:val="00417210"/>
    <w:rsid w:val="00426103"/>
    <w:rsid w:val="00432465"/>
    <w:rsid w:val="00437F1A"/>
    <w:rsid w:val="0044739C"/>
    <w:rsid w:val="00452CD7"/>
    <w:rsid w:val="00453833"/>
    <w:rsid w:val="00456C80"/>
    <w:rsid w:val="00475393"/>
    <w:rsid w:val="004759DB"/>
    <w:rsid w:val="0047732D"/>
    <w:rsid w:val="00485428"/>
    <w:rsid w:val="00485A56"/>
    <w:rsid w:val="004876DF"/>
    <w:rsid w:val="00492580"/>
    <w:rsid w:val="00492AF8"/>
    <w:rsid w:val="004C00F8"/>
    <w:rsid w:val="004C68A2"/>
    <w:rsid w:val="004D39D3"/>
    <w:rsid w:val="004D4788"/>
    <w:rsid w:val="004D6CF3"/>
    <w:rsid w:val="004D6E15"/>
    <w:rsid w:val="004E0877"/>
    <w:rsid w:val="004E3E2B"/>
    <w:rsid w:val="004F6119"/>
    <w:rsid w:val="00501032"/>
    <w:rsid w:val="0050305F"/>
    <w:rsid w:val="00506971"/>
    <w:rsid w:val="00514CD4"/>
    <w:rsid w:val="00525FA8"/>
    <w:rsid w:val="00526D4A"/>
    <w:rsid w:val="005319F1"/>
    <w:rsid w:val="00531A8D"/>
    <w:rsid w:val="00534D9D"/>
    <w:rsid w:val="00544D32"/>
    <w:rsid w:val="00546FDA"/>
    <w:rsid w:val="00547233"/>
    <w:rsid w:val="00552D0E"/>
    <w:rsid w:val="00554690"/>
    <w:rsid w:val="00557966"/>
    <w:rsid w:val="00560F91"/>
    <w:rsid w:val="0057792A"/>
    <w:rsid w:val="00590937"/>
    <w:rsid w:val="005A00D6"/>
    <w:rsid w:val="005A39C6"/>
    <w:rsid w:val="005A7A35"/>
    <w:rsid w:val="005B7E1B"/>
    <w:rsid w:val="005C0759"/>
    <w:rsid w:val="005C41FC"/>
    <w:rsid w:val="005D0543"/>
    <w:rsid w:val="005D38E1"/>
    <w:rsid w:val="005D4842"/>
    <w:rsid w:val="005D5F37"/>
    <w:rsid w:val="005E0171"/>
    <w:rsid w:val="005F1117"/>
    <w:rsid w:val="005F5904"/>
    <w:rsid w:val="0060089E"/>
    <w:rsid w:val="00606F9F"/>
    <w:rsid w:val="00622F9C"/>
    <w:rsid w:val="00635FF6"/>
    <w:rsid w:val="00644C11"/>
    <w:rsid w:val="006452A3"/>
    <w:rsid w:val="006468FE"/>
    <w:rsid w:val="00652CCD"/>
    <w:rsid w:val="006663F8"/>
    <w:rsid w:val="0067441B"/>
    <w:rsid w:val="00677232"/>
    <w:rsid w:val="00684B31"/>
    <w:rsid w:val="006B0971"/>
    <w:rsid w:val="006B0984"/>
    <w:rsid w:val="006B15DC"/>
    <w:rsid w:val="006B4D22"/>
    <w:rsid w:val="006C3D33"/>
    <w:rsid w:val="006C7086"/>
    <w:rsid w:val="006C72BF"/>
    <w:rsid w:val="006D2838"/>
    <w:rsid w:val="006E60FE"/>
    <w:rsid w:val="006F2AF4"/>
    <w:rsid w:val="006F33B9"/>
    <w:rsid w:val="006F444D"/>
    <w:rsid w:val="006F77B2"/>
    <w:rsid w:val="00705C56"/>
    <w:rsid w:val="00713528"/>
    <w:rsid w:val="007176EE"/>
    <w:rsid w:val="0074043B"/>
    <w:rsid w:val="007532EF"/>
    <w:rsid w:val="007540C4"/>
    <w:rsid w:val="00762E64"/>
    <w:rsid w:val="007703C0"/>
    <w:rsid w:val="00777919"/>
    <w:rsid w:val="0078336B"/>
    <w:rsid w:val="0078791C"/>
    <w:rsid w:val="00796E31"/>
    <w:rsid w:val="007971AC"/>
    <w:rsid w:val="007A6043"/>
    <w:rsid w:val="007A6E1A"/>
    <w:rsid w:val="007B457E"/>
    <w:rsid w:val="007C27EC"/>
    <w:rsid w:val="007C5F2D"/>
    <w:rsid w:val="007D520B"/>
    <w:rsid w:val="007E0650"/>
    <w:rsid w:val="007E7F47"/>
    <w:rsid w:val="007F03C8"/>
    <w:rsid w:val="007F4E14"/>
    <w:rsid w:val="007F7DA4"/>
    <w:rsid w:val="00801A5B"/>
    <w:rsid w:val="0080693D"/>
    <w:rsid w:val="00810592"/>
    <w:rsid w:val="00811797"/>
    <w:rsid w:val="008125DF"/>
    <w:rsid w:val="008158CF"/>
    <w:rsid w:val="00817116"/>
    <w:rsid w:val="008174AE"/>
    <w:rsid w:val="008317FD"/>
    <w:rsid w:val="008364EB"/>
    <w:rsid w:val="00840669"/>
    <w:rsid w:val="00845D15"/>
    <w:rsid w:val="00854941"/>
    <w:rsid w:val="0085593A"/>
    <w:rsid w:val="008574D2"/>
    <w:rsid w:val="0086126A"/>
    <w:rsid w:val="00865434"/>
    <w:rsid w:val="00865745"/>
    <w:rsid w:val="00890CF3"/>
    <w:rsid w:val="008911C8"/>
    <w:rsid w:val="00891A2E"/>
    <w:rsid w:val="008A70DF"/>
    <w:rsid w:val="008A7F41"/>
    <w:rsid w:val="008B14B1"/>
    <w:rsid w:val="008B18DA"/>
    <w:rsid w:val="008B2306"/>
    <w:rsid w:val="008B31E0"/>
    <w:rsid w:val="008B34DE"/>
    <w:rsid w:val="008C5965"/>
    <w:rsid w:val="008C6701"/>
    <w:rsid w:val="008E1C11"/>
    <w:rsid w:val="008F2DEA"/>
    <w:rsid w:val="008F5260"/>
    <w:rsid w:val="00900475"/>
    <w:rsid w:val="00906B3E"/>
    <w:rsid w:val="009070D4"/>
    <w:rsid w:val="0091214A"/>
    <w:rsid w:val="00913B24"/>
    <w:rsid w:val="00917038"/>
    <w:rsid w:val="00930F6B"/>
    <w:rsid w:val="009316E7"/>
    <w:rsid w:val="00937154"/>
    <w:rsid w:val="00952C49"/>
    <w:rsid w:val="00955EF7"/>
    <w:rsid w:val="00963E1C"/>
    <w:rsid w:val="0096421C"/>
    <w:rsid w:val="009659A2"/>
    <w:rsid w:val="00975392"/>
    <w:rsid w:val="009930EC"/>
    <w:rsid w:val="009A5E27"/>
    <w:rsid w:val="009B2043"/>
    <w:rsid w:val="009C0B9F"/>
    <w:rsid w:val="009D04B2"/>
    <w:rsid w:val="009D1DFB"/>
    <w:rsid w:val="009D22FE"/>
    <w:rsid w:val="009D52A5"/>
    <w:rsid w:val="009E3598"/>
    <w:rsid w:val="009E642B"/>
    <w:rsid w:val="009F4691"/>
    <w:rsid w:val="00A02AD9"/>
    <w:rsid w:val="00A047DF"/>
    <w:rsid w:val="00A10DD0"/>
    <w:rsid w:val="00A248E7"/>
    <w:rsid w:val="00A25D17"/>
    <w:rsid w:val="00A3057A"/>
    <w:rsid w:val="00A35D48"/>
    <w:rsid w:val="00A3651A"/>
    <w:rsid w:val="00A4154C"/>
    <w:rsid w:val="00A476B2"/>
    <w:rsid w:val="00A476C0"/>
    <w:rsid w:val="00A500CB"/>
    <w:rsid w:val="00A621FC"/>
    <w:rsid w:val="00A7164F"/>
    <w:rsid w:val="00A773DC"/>
    <w:rsid w:val="00A83860"/>
    <w:rsid w:val="00A83BA5"/>
    <w:rsid w:val="00AA3562"/>
    <w:rsid w:val="00AB48CC"/>
    <w:rsid w:val="00AB5CE5"/>
    <w:rsid w:val="00AC0B4E"/>
    <w:rsid w:val="00AC3933"/>
    <w:rsid w:val="00AC7E9E"/>
    <w:rsid w:val="00AD63C2"/>
    <w:rsid w:val="00AE2D84"/>
    <w:rsid w:val="00AF179E"/>
    <w:rsid w:val="00B01220"/>
    <w:rsid w:val="00B11E6A"/>
    <w:rsid w:val="00B13431"/>
    <w:rsid w:val="00B146E9"/>
    <w:rsid w:val="00B2369A"/>
    <w:rsid w:val="00B32EBF"/>
    <w:rsid w:val="00B331B1"/>
    <w:rsid w:val="00B42BA6"/>
    <w:rsid w:val="00B43E8B"/>
    <w:rsid w:val="00B53E58"/>
    <w:rsid w:val="00B678FE"/>
    <w:rsid w:val="00B67FE7"/>
    <w:rsid w:val="00B7360F"/>
    <w:rsid w:val="00B76056"/>
    <w:rsid w:val="00B76AA8"/>
    <w:rsid w:val="00B83EF2"/>
    <w:rsid w:val="00B9148E"/>
    <w:rsid w:val="00BA6D99"/>
    <w:rsid w:val="00BB1D29"/>
    <w:rsid w:val="00BB78C0"/>
    <w:rsid w:val="00BC52E5"/>
    <w:rsid w:val="00BC543B"/>
    <w:rsid w:val="00BD1F74"/>
    <w:rsid w:val="00BD2757"/>
    <w:rsid w:val="00BD75E5"/>
    <w:rsid w:val="00BE03F4"/>
    <w:rsid w:val="00BE55C2"/>
    <w:rsid w:val="00BF7D8C"/>
    <w:rsid w:val="00C17766"/>
    <w:rsid w:val="00C37A58"/>
    <w:rsid w:val="00C42282"/>
    <w:rsid w:val="00C4269C"/>
    <w:rsid w:val="00C44722"/>
    <w:rsid w:val="00C44D73"/>
    <w:rsid w:val="00C4614E"/>
    <w:rsid w:val="00C55510"/>
    <w:rsid w:val="00C642FC"/>
    <w:rsid w:val="00C648E2"/>
    <w:rsid w:val="00C70484"/>
    <w:rsid w:val="00C71F36"/>
    <w:rsid w:val="00C74237"/>
    <w:rsid w:val="00C864ED"/>
    <w:rsid w:val="00CA713F"/>
    <w:rsid w:val="00CB0891"/>
    <w:rsid w:val="00CB2BED"/>
    <w:rsid w:val="00CB3E86"/>
    <w:rsid w:val="00CC0C1E"/>
    <w:rsid w:val="00CC1307"/>
    <w:rsid w:val="00CC2D5E"/>
    <w:rsid w:val="00CD3365"/>
    <w:rsid w:val="00CD471E"/>
    <w:rsid w:val="00CE1923"/>
    <w:rsid w:val="00CE2241"/>
    <w:rsid w:val="00CE6FBF"/>
    <w:rsid w:val="00D0251E"/>
    <w:rsid w:val="00D06970"/>
    <w:rsid w:val="00D24050"/>
    <w:rsid w:val="00D25CA7"/>
    <w:rsid w:val="00D27417"/>
    <w:rsid w:val="00D322D3"/>
    <w:rsid w:val="00D417F4"/>
    <w:rsid w:val="00D41DF6"/>
    <w:rsid w:val="00D462E5"/>
    <w:rsid w:val="00D46802"/>
    <w:rsid w:val="00D50561"/>
    <w:rsid w:val="00D640CB"/>
    <w:rsid w:val="00D65F26"/>
    <w:rsid w:val="00D7724E"/>
    <w:rsid w:val="00D90194"/>
    <w:rsid w:val="00D9129E"/>
    <w:rsid w:val="00D9301F"/>
    <w:rsid w:val="00D942BE"/>
    <w:rsid w:val="00DA23C9"/>
    <w:rsid w:val="00DB36F3"/>
    <w:rsid w:val="00DB3812"/>
    <w:rsid w:val="00DB4D52"/>
    <w:rsid w:val="00DB5A8A"/>
    <w:rsid w:val="00DC1E58"/>
    <w:rsid w:val="00DD60A6"/>
    <w:rsid w:val="00DD69CF"/>
    <w:rsid w:val="00DD6CEE"/>
    <w:rsid w:val="00DD7B57"/>
    <w:rsid w:val="00DE6756"/>
    <w:rsid w:val="00DF297C"/>
    <w:rsid w:val="00E002F8"/>
    <w:rsid w:val="00E00E7E"/>
    <w:rsid w:val="00E0440C"/>
    <w:rsid w:val="00E11279"/>
    <w:rsid w:val="00E20776"/>
    <w:rsid w:val="00E3008F"/>
    <w:rsid w:val="00E32A72"/>
    <w:rsid w:val="00E35142"/>
    <w:rsid w:val="00E367E0"/>
    <w:rsid w:val="00E37142"/>
    <w:rsid w:val="00E37541"/>
    <w:rsid w:val="00E401BA"/>
    <w:rsid w:val="00E46C63"/>
    <w:rsid w:val="00E511C8"/>
    <w:rsid w:val="00E61151"/>
    <w:rsid w:val="00E71FDD"/>
    <w:rsid w:val="00E80062"/>
    <w:rsid w:val="00E8621A"/>
    <w:rsid w:val="00E93AE3"/>
    <w:rsid w:val="00E95070"/>
    <w:rsid w:val="00E95A39"/>
    <w:rsid w:val="00EA08FB"/>
    <w:rsid w:val="00EA2ADE"/>
    <w:rsid w:val="00EB16BC"/>
    <w:rsid w:val="00EC0386"/>
    <w:rsid w:val="00EC15D1"/>
    <w:rsid w:val="00EC4F72"/>
    <w:rsid w:val="00EC5EF1"/>
    <w:rsid w:val="00ED612C"/>
    <w:rsid w:val="00EE6139"/>
    <w:rsid w:val="00EF0948"/>
    <w:rsid w:val="00EF13B1"/>
    <w:rsid w:val="00EF21EA"/>
    <w:rsid w:val="00EF59F4"/>
    <w:rsid w:val="00EF6362"/>
    <w:rsid w:val="00EF7DF5"/>
    <w:rsid w:val="00F034F6"/>
    <w:rsid w:val="00F078E1"/>
    <w:rsid w:val="00F11A29"/>
    <w:rsid w:val="00F11F3F"/>
    <w:rsid w:val="00F15A21"/>
    <w:rsid w:val="00F224FC"/>
    <w:rsid w:val="00F24CF0"/>
    <w:rsid w:val="00F26C33"/>
    <w:rsid w:val="00F30F61"/>
    <w:rsid w:val="00F315BF"/>
    <w:rsid w:val="00F345BC"/>
    <w:rsid w:val="00F6264D"/>
    <w:rsid w:val="00F65A20"/>
    <w:rsid w:val="00F65DCC"/>
    <w:rsid w:val="00F727FC"/>
    <w:rsid w:val="00F82961"/>
    <w:rsid w:val="00F93869"/>
    <w:rsid w:val="00FA1FC0"/>
    <w:rsid w:val="00FB3D3A"/>
    <w:rsid w:val="00FB5FE7"/>
    <w:rsid w:val="00FC42C5"/>
    <w:rsid w:val="00FC4859"/>
    <w:rsid w:val="00FC4966"/>
    <w:rsid w:val="00FD3715"/>
    <w:rsid w:val="00FD4E4D"/>
    <w:rsid w:val="00FD670B"/>
    <w:rsid w:val="00FF2148"/>
    <w:rsid w:val="00FF49EF"/>
    <w:rsid w:val="00FF4CA7"/>
    <w:rsid w:val="00FF5132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B2"/>
    <w:rPr>
      <w:rFonts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D0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9D04B2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uiPriority w:val="99"/>
    <w:rsid w:val="009D04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D04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9D04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D04B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D04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D04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g3">
    <w:name w:val="prg3"/>
    <w:basedOn w:val="a"/>
    <w:rsid w:val="009D04B2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  <w:sz w:val="20"/>
      <w:szCs w:val="20"/>
    </w:rPr>
  </w:style>
  <w:style w:type="paragraph" w:styleId="a5">
    <w:name w:val="Title"/>
    <w:basedOn w:val="a"/>
    <w:link w:val="a6"/>
    <w:uiPriority w:val="10"/>
    <w:qFormat/>
    <w:rsid w:val="009D04B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customStyle="1" w:styleId="ConsNonformat">
    <w:name w:val="ConsNonformat"/>
    <w:rsid w:val="005319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Plain Text"/>
    <w:basedOn w:val="a"/>
    <w:link w:val="a8"/>
    <w:uiPriority w:val="99"/>
    <w:rsid w:val="009D04B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D04B2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locked/>
    <w:rsid w:val="009D04B2"/>
    <w:rPr>
      <w:rFonts w:ascii="Arial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F6119"/>
    <w:pPr>
      <w:tabs>
        <w:tab w:val="center" w:pos="4153"/>
        <w:tab w:val="right" w:pos="8306"/>
      </w:tabs>
      <w:autoSpaceDE w:val="0"/>
      <w:autoSpaceDN w:val="0"/>
      <w:spacing w:line="360" w:lineRule="atLeast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F611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236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rsid w:val="00FD4E4D"/>
    <w:rPr>
      <w:rFonts w:cs="Times New Roman"/>
    </w:rPr>
  </w:style>
  <w:style w:type="paragraph" w:styleId="ac">
    <w:name w:val="footer"/>
    <w:basedOn w:val="a"/>
    <w:link w:val="ad"/>
    <w:uiPriority w:val="99"/>
    <w:rsid w:val="00FD4E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D4E4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A773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17F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0A7B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317FD"/>
    <w:rPr>
      <w:rFonts w:ascii="Times New Roman" w:hAnsi="Times New Roman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8F2DEA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character" w:styleId="af1">
    <w:name w:val="annotation reference"/>
    <w:basedOn w:val="a0"/>
    <w:uiPriority w:val="99"/>
    <w:unhideWhenUsed/>
    <w:rsid w:val="007A6E1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6E1A"/>
    <w:pPr>
      <w:spacing w:after="20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7A6E1A"/>
    <w:rPr>
      <w:rFonts w:asciiTheme="minorHAnsi" w:hAnsiTheme="minorHAnsi" w:cs="Times New Roman"/>
      <w:lang w:eastAsia="en-US"/>
    </w:rPr>
  </w:style>
  <w:style w:type="paragraph" w:styleId="af4">
    <w:name w:val="Revision"/>
    <w:hidden/>
    <w:uiPriority w:val="99"/>
    <w:semiHidden/>
    <w:rsid w:val="006C708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008_действующая редакция</Статус_x0020_документа>
    <_EndDate xmlns="http://schemas.microsoft.com/sharepoint/v3/fields">07.12.2020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EC47-6845-4B06-89C0-AE61F325CA7B}"/>
</file>

<file path=customXml/itemProps2.xml><?xml version="1.0" encoding="utf-8"?>
<ds:datastoreItem xmlns:ds="http://schemas.openxmlformats.org/officeDocument/2006/customXml" ds:itemID="{391B0C36-09A8-49AC-A1B0-309D7517B0A3}"/>
</file>

<file path=customXml/itemProps3.xml><?xml version="1.0" encoding="utf-8"?>
<ds:datastoreItem xmlns:ds="http://schemas.openxmlformats.org/officeDocument/2006/customXml" ds:itemID="{722AF918-8286-4CBC-BF99-F171DA28FDED}"/>
</file>

<file path=customXml/itemProps4.xml><?xml version="1.0" encoding="utf-8"?>
<ds:datastoreItem xmlns:ds="http://schemas.openxmlformats.org/officeDocument/2006/customXml" ds:itemID="{1FBBFC55-545E-4A8D-82D0-F9FAD7262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2632</Words>
  <Characters>19379</Characters>
  <Application>Microsoft Office Word</Application>
  <DocSecurity>0</DocSecurity>
  <Lines>161</Lines>
  <Paragraphs>43</Paragraphs>
  <ScaleCrop>false</ScaleCrop>
  <Company>Цитадель Э.М.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Цитадель</dc:creator>
  <cp:lastModifiedBy>kondratieva</cp:lastModifiedBy>
  <cp:revision>2</cp:revision>
  <cp:lastPrinted>2018-06-19T13:50:00Z</cp:lastPrinted>
  <dcterms:created xsi:type="dcterms:W3CDTF">2020-12-07T14:01:00Z</dcterms:created>
  <dcterms:modified xsi:type="dcterms:W3CDTF">2020-12-07T14:01:00Z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