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44" w:rsidRPr="009A3A44" w:rsidRDefault="009A3A44" w:rsidP="009A3A44">
      <w:pPr>
        <w:pStyle w:val="a3"/>
        <w:jc w:val="right"/>
        <w:rPr>
          <w:rFonts w:ascii="Times New Roman" w:hAnsi="Times New Roman" w:cs="Times New Roman"/>
        </w:rPr>
      </w:pPr>
      <w:r w:rsidRPr="009A3A44">
        <w:rPr>
          <w:rFonts w:ascii="Times New Roman" w:hAnsi="Times New Roman" w:cs="Times New Roman"/>
        </w:rPr>
        <w:t>УТВЕРЖДЕНО</w:t>
      </w:r>
    </w:p>
    <w:p w:rsidR="009A3A44" w:rsidRPr="009A3A44" w:rsidRDefault="009A3A44" w:rsidP="009A3A44">
      <w:pPr>
        <w:pStyle w:val="a3"/>
        <w:jc w:val="right"/>
        <w:rPr>
          <w:rFonts w:ascii="Times New Roman" w:hAnsi="Times New Roman" w:cs="Times New Roman"/>
        </w:rPr>
      </w:pPr>
      <w:r w:rsidRPr="009A3A44">
        <w:rPr>
          <w:rFonts w:ascii="Times New Roman" w:hAnsi="Times New Roman" w:cs="Times New Roman"/>
        </w:rPr>
        <w:t>Приказом Генерального директора</w:t>
      </w:r>
    </w:p>
    <w:p w:rsidR="00CB366F" w:rsidRPr="00A16525" w:rsidRDefault="009A3A44" w:rsidP="009A3A44">
      <w:pPr>
        <w:pStyle w:val="a3"/>
        <w:jc w:val="right"/>
        <w:rPr>
          <w:rFonts w:ascii="Times New Roman" w:hAnsi="Times New Roman" w:cs="Times New Roman"/>
        </w:rPr>
      </w:pPr>
      <w:r w:rsidRPr="009A3A44">
        <w:rPr>
          <w:rFonts w:ascii="Times New Roman" w:hAnsi="Times New Roman" w:cs="Times New Roman"/>
        </w:rPr>
        <w:t xml:space="preserve">ООО «КАПИТАЛ ЭССЕТ МЕНЕДЖМЕНТ»                                                                                                          </w:t>
      </w:r>
      <w:r w:rsidRPr="00C66784">
        <w:rPr>
          <w:rFonts w:ascii="Times New Roman" w:hAnsi="Times New Roman" w:cs="Times New Roman"/>
          <w:highlight w:val="yellow"/>
        </w:rPr>
        <w:t>№</w:t>
      </w:r>
      <w:r w:rsidR="00F032CD" w:rsidRPr="00C66784">
        <w:rPr>
          <w:rFonts w:ascii="Times New Roman" w:hAnsi="Times New Roman" w:cs="Times New Roman"/>
          <w:highlight w:val="yellow"/>
        </w:rPr>
        <w:t xml:space="preserve">    </w:t>
      </w:r>
      <w:r w:rsidR="009D27DE" w:rsidRPr="00C66784">
        <w:rPr>
          <w:rFonts w:ascii="Times New Roman" w:hAnsi="Times New Roman" w:cs="Times New Roman"/>
          <w:highlight w:val="yellow"/>
        </w:rPr>
        <w:t xml:space="preserve"> </w:t>
      </w:r>
      <w:r w:rsidRPr="00C66784">
        <w:rPr>
          <w:rFonts w:ascii="Times New Roman" w:hAnsi="Times New Roman" w:cs="Times New Roman"/>
          <w:highlight w:val="yellow"/>
        </w:rPr>
        <w:t>от «</w:t>
      </w:r>
      <w:r w:rsidR="00F032CD" w:rsidRPr="00C66784">
        <w:rPr>
          <w:rFonts w:ascii="Times New Roman" w:hAnsi="Times New Roman" w:cs="Times New Roman"/>
          <w:highlight w:val="yellow"/>
        </w:rPr>
        <w:t xml:space="preserve">    </w:t>
      </w:r>
      <w:r w:rsidR="009D27DE" w:rsidRPr="00C66784">
        <w:rPr>
          <w:rFonts w:ascii="Times New Roman" w:hAnsi="Times New Roman" w:cs="Times New Roman"/>
          <w:highlight w:val="yellow"/>
        </w:rPr>
        <w:t>»</w:t>
      </w:r>
      <w:r w:rsidRPr="00C66784">
        <w:rPr>
          <w:rFonts w:ascii="Times New Roman" w:hAnsi="Times New Roman" w:cs="Times New Roman"/>
          <w:highlight w:val="yellow"/>
        </w:rPr>
        <w:t xml:space="preserve"> </w:t>
      </w:r>
      <w:r w:rsidR="00F032CD" w:rsidRPr="00C66784">
        <w:rPr>
          <w:rFonts w:ascii="Times New Roman" w:hAnsi="Times New Roman" w:cs="Times New Roman"/>
          <w:highlight w:val="yellow"/>
        </w:rPr>
        <w:t>октября</w:t>
      </w:r>
      <w:r w:rsidRPr="00C66784">
        <w:rPr>
          <w:rFonts w:ascii="Times New Roman" w:hAnsi="Times New Roman" w:cs="Times New Roman"/>
          <w:highlight w:val="yellow"/>
        </w:rPr>
        <w:t xml:space="preserve"> 201</w:t>
      </w:r>
      <w:r w:rsidR="00C06E67" w:rsidRPr="00C66784">
        <w:rPr>
          <w:rFonts w:ascii="Times New Roman" w:hAnsi="Times New Roman" w:cs="Times New Roman"/>
          <w:highlight w:val="yellow"/>
        </w:rPr>
        <w:t>4</w:t>
      </w:r>
      <w:r w:rsidRPr="00C66784">
        <w:rPr>
          <w:rFonts w:ascii="Times New Roman" w:hAnsi="Times New Roman" w:cs="Times New Roman"/>
          <w:highlight w:val="yellow"/>
        </w:rPr>
        <w:t xml:space="preserve"> года</w:t>
      </w:r>
    </w:p>
    <w:p w:rsidR="00CB366F" w:rsidRPr="00A16525" w:rsidRDefault="00CB366F" w:rsidP="00CB366F">
      <w:pPr>
        <w:pStyle w:val="a3"/>
        <w:rPr>
          <w:rFonts w:ascii="Times New Roman" w:hAnsi="Times New Roman" w:cs="Times New Roman"/>
        </w:rPr>
      </w:pPr>
    </w:p>
    <w:p w:rsidR="00CB366F" w:rsidRPr="00CB366F" w:rsidRDefault="00CB366F" w:rsidP="00CB366F">
      <w:pPr>
        <w:jc w:val="center"/>
      </w:pPr>
    </w:p>
    <w:p w:rsidR="00CB366F" w:rsidRPr="00CB366F" w:rsidRDefault="00CB366F" w:rsidP="00CB366F">
      <w:pPr>
        <w:jc w:val="center"/>
      </w:pPr>
    </w:p>
    <w:p w:rsidR="00CB366F" w:rsidRPr="00C65224" w:rsidRDefault="00CB366F" w:rsidP="00CB366F">
      <w:pPr>
        <w:pStyle w:val="a3"/>
        <w:spacing w:after="60"/>
        <w:ind w:firstLine="284"/>
        <w:rPr>
          <w:rFonts w:ascii="Times New Roman" w:hAnsi="Times New Roman" w:cs="Times New Roman"/>
          <w:bCs/>
        </w:rPr>
      </w:pPr>
      <w:r w:rsidRPr="00A16525">
        <w:rPr>
          <w:rFonts w:ascii="Times New Roman" w:hAnsi="Times New Roman" w:cs="Times New Roman"/>
          <w:bCs/>
        </w:rPr>
        <w:t xml:space="preserve">Изменения и дополнения </w:t>
      </w:r>
      <w:r w:rsidR="0047092C">
        <w:rPr>
          <w:rFonts w:ascii="Times New Roman" w:hAnsi="Times New Roman" w:cs="Times New Roman"/>
          <w:bCs/>
        </w:rPr>
        <w:t xml:space="preserve">№ </w:t>
      </w:r>
      <w:r w:rsidR="00F032CD">
        <w:rPr>
          <w:rFonts w:ascii="Times New Roman" w:hAnsi="Times New Roman" w:cs="Times New Roman"/>
          <w:bCs/>
        </w:rPr>
        <w:t>4</w:t>
      </w:r>
    </w:p>
    <w:p w:rsidR="00CB366F" w:rsidRPr="00A16525" w:rsidRDefault="00CB366F" w:rsidP="00CB366F">
      <w:pPr>
        <w:pStyle w:val="a3"/>
        <w:spacing w:after="60"/>
        <w:ind w:firstLine="284"/>
        <w:rPr>
          <w:rFonts w:ascii="Times New Roman" w:hAnsi="Times New Roman" w:cs="Times New Roman"/>
          <w:bCs/>
        </w:rPr>
      </w:pPr>
      <w:r w:rsidRPr="00A16525">
        <w:rPr>
          <w:rFonts w:ascii="Times New Roman" w:hAnsi="Times New Roman" w:cs="Times New Roman"/>
          <w:bCs/>
        </w:rPr>
        <w:t>в Правила доверительного управления</w:t>
      </w:r>
    </w:p>
    <w:p w:rsidR="001E31A2" w:rsidRPr="00252D45" w:rsidRDefault="001E31A2" w:rsidP="001E31A2">
      <w:pPr>
        <w:keepNext/>
        <w:widowControl w:val="0"/>
        <w:suppressLineNumbers/>
        <w:suppressAutoHyphens/>
        <w:autoSpaceDE w:val="0"/>
        <w:autoSpaceDN w:val="0"/>
        <w:adjustRightInd w:val="0"/>
        <w:spacing w:before="120"/>
        <w:jc w:val="center"/>
        <w:rPr>
          <w:b/>
          <w:bCs/>
        </w:rPr>
      </w:pPr>
      <w:r w:rsidRPr="00252D45">
        <w:rPr>
          <w:b/>
          <w:bCs/>
        </w:rPr>
        <w:t>Закрытым</w:t>
      </w:r>
      <w:r w:rsidRPr="003E4B6E">
        <w:t xml:space="preserve"> </w:t>
      </w:r>
      <w:r>
        <w:t xml:space="preserve"> </w:t>
      </w:r>
      <w:r w:rsidRPr="00252D45">
        <w:rPr>
          <w:b/>
          <w:bCs/>
        </w:rPr>
        <w:t xml:space="preserve">паевым инвестиционным фондом </w:t>
      </w:r>
      <w:r w:rsidRPr="005846E4">
        <w:rPr>
          <w:b/>
          <w:bCs/>
        </w:rPr>
        <w:t>рентным</w:t>
      </w:r>
    </w:p>
    <w:p w:rsidR="001E31A2" w:rsidRPr="00234878" w:rsidRDefault="001E31A2" w:rsidP="001E31A2">
      <w:pPr>
        <w:keepNext/>
        <w:widowControl w:val="0"/>
        <w:suppressLineNumbers/>
        <w:suppressAutoHyphens/>
        <w:autoSpaceDE w:val="0"/>
        <w:autoSpaceDN w:val="0"/>
        <w:adjustRightInd w:val="0"/>
        <w:spacing w:before="120"/>
        <w:jc w:val="center"/>
        <w:rPr>
          <w:b/>
          <w:bCs/>
          <w:sz w:val="32"/>
          <w:szCs w:val="32"/>
        </w:rPr>
      </w:pPr>
      <w:r w:rsidRPr="00234878">
        <w:rPr>
          <w:b/>
          <w:bCs/>
          <w:sz w:val="32"/>
          <w:szCs w:val="32"/>
        </w:rPr>
        <w:t>«</w:t>
      </w:r>
      <w:r w:rsidR="004A4C14" w:rsidRPr="004A4C14">
        <w:rPr>
          <w:b/>
          <w:bCs/>
        </w:rPr>
        <w:t>Стратегические</w:t>
      </w:r>
      <w:r w:rsidR="00664ABC" w:rsidRPr="00664ABC">
        <w:rPr>
          <w:b/>
          <w:bCs/>
        </w:rPr>
        <w:t xml:space="preserve"> инвестиции</w:t>
      </w:r>
      <w:r w:rsidRPr="00234878">
        <w:rPr>
          <w:b/>
          <w:bCs/>
          <w:sz w:val="32"/>
          <w:szCs w:val="32"/>
        </w:rPr>
        <w:t>»</w:t>
      </w:r>
    </w:p>
    <w:p w:rsidR="00CB366F" w:rsidRPr="00664ABC" w:rsidRDefault="00CB366F" w:rsidP="0070046D">
      <w:pPr>
        <w:pStyle w:val="a3"/>
        <w:spacing w:after="60"/>
        <w:ind w:firstLine="284"/>
        <w:rPr>
          <w:rFonts w:ascii="Times New Roman" w:hAnsi="Times New Roman" w:cs="Times New Roman"/>
          <w:bCs/>
        </w:rPr>
      </w:pPr>
      <w:r w:rsidRPr="006A70A1">
        <w:rPr>
          <w:rFonts w:ascii="Times New Roman" w:hAnsi="Times New Roman" w:cs="Times New Roman"/>
          <w:bCs/>
        </w:rPr>
        <w:t xml:space="preserve">Правила доверительного управления фондом зарегистрированы ФСФР России </w:t>
      </w:r>
      <w:r w:rsidR="00664ABC">
        <w:rPr>
          <w:rFonts w:ascii="Times New Roman" w:hAnsi="Times New Roman" w:cs="Times New Roman"/>
          <w:bCs/>
        </w:rPr>
        <w:t xml:space="preserve">от </w:t>
      </w:r>
      <w:r w:rsidR="004A4C14">
        <w:rPr>
          <w:rFonts w:ascii="Times New Roman" w:hAnsi="Times New Roman" w:cs="Times New Roman"/>
          <w:bCs/>
        </w:rPr>
        <w:t>06</w:t>
      </w:r>
      <w:r w:rsidR="00664ABC" w:rsidRPr="00664ABC">
        <w:rPr>
          <w:rFonts w:ascii="Times New Roman" w:hAnsi="Times New Roman" w:cs="Times New Roman"/>
          <w:bCs/>
        </w:rPr>
        <w:t>.</w:t>
      </w:r>
      <w:r w:rsidR="004A4C14">
        <w:rPr>
          <w:rFonts w:ascii="Times New Roman" w:hAnsi="Times New Roman" w:cs="Times New Roman"/>
          <w:bCs/>
        </w:rPr>
        <w:t>05</w:t>
      </w:r>
      <w:r w:rsidR="00664ABC" w:rsidRPr="00664ABC">
        <w:rPr>
          <w:rFonts w:ascii="Times New Roman" w:hAnsi="Times New Roman" w:cs="Times New Roman"/>
          <w:bCs/>
        </w:rPr>
        <w:t>.201</w:t>
      </w:r>
      <w:r w:rsidR="00DC6613" w:rsidRPr="00DC6613">
        <w:rPr>
          <w:rFonts w:ascii="Times New Roman" w:hAnsi="Times New Roman" w:cs="Times New Roman"/>
          <w:bCs/>
        </w:rPr>
        <w:t>3</w:t>
      </w:r>
      <w:r w:rsidR="00664ABC" w:rsidRPr="00664ABC">
        <w:rPr>
          <w:rFonts w:ascii="Times New Roman" w:hAnsi="Times New Roman" w:cs="Times New Roman"/>
          <w:bCs/>
        </w:rPr>
        <w:t xml:space="preserve"> за № 2</w:t>
      </w:r>
      <w:r w:rsidR="004A4C14">
        <w:rPr>
          <w:rFonts w:ascii="Times New Roman" w:hAnsi="Times New Roman" w:cs="Times New Roman"/>
          <w:bCs/>
        </w:rPr>
        <w:t>596</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860"/>
        <w:gridCol w:w="5040"/>
      </w:tblGrid>
      <w:tr w:rsidR="00CB366F" w:rsidRPr="00A16525" w:rsidTr="005921CC">
        <w:tc>
          <w:tcPr>
            <w:tcW w:w="540" w:type="dxa"/>
          </w:tcPr>
          <w:p w:rsidR="00CB366F" w:rsidRPr="00A16525" w:rsidRDefault="00CB366F" w:rsidP="005921CC">
            <w:pPr>
              <w:spacing w:after="60"/>
              <w:jc w:val="center"/>
            </w:pPr>
            <w:r w:rsidRPr="00A16525">
              <w:t xml:space="preserve">№ </w:t>
            </w:r>
            <w:proofErr w:type="spellStart"/>
            <w:r w:rsidRPr="00A16525">
              <w:t>п</w:t>
            </w:r>
            <w:proofErr w:type="gramStart"/>
            <w:r w:rsidRPr="00A16525">
              <w:t>.п</w:t>
            </w:r>
            <w:proofErr w:type="spellEnd"/>
            <w:proofErr w:type="gramEnd"/>
          </w:p>
        </w:tc>
        <w:tc>
          <w:tcPr>
            <w:tcW w:w="4860" w:type="dxa"/>
          </w:tcPr>
          <w:p w:rsidR="00CB366F" w:rsidRPr="00A16525" w:rsidRDefault="00CB366F" w:rsidP="005921CC">
            <w:pPr>
              <w:pStyle w:val="3"/>
            </w:pPr>
            <w:r w:rsidRPr="00A16525">
              <w:t xml:space="preserve">Старая редакция </w:t>
            </w:r>
          </w:p>
        </w:tc>
        <w:tc>
          <w:tcPr>
            <w:tcW w:w="5040" w:type="dxa"/>
          </w:tcPr>
          <w:p w:rsidR="00CB366F" w:rsidRPr="00A16525" w:rsidRDefault="00CB366F" w:rsidP="005921CC">
            <w:pPr>
              <w:pStyle w:val="3"/>
            </w:pPr>
            <w:r w:rsidRPr="00A16525">
              <w:t>Новая редакция</w:t>
            </w:r>
          </w:p>
        </w:tc>
      </w:tr>
      <w:tr w:rsidR="00F032CD" w:rsidRPr="00A16525" w:rsidTr="005921CC">
        <w:tc>
          <w:tcPr>
            <w:tcW w:w="540" w:type="dxa"/>
          </w:tcPr>
          <w:p w:rsidR="00F032CD" w:rsidRDefault="00F032CD" w:rsidP="005921CC">
            <w:pPr>
              <w:spacing w:after="60"/>
              <w:jc w:val="center"/>
            </w:pPr>
            <w:r>
              <w:t>1</w:t>
            </w:r>
          </w:p>
        </w:tc>
        <w:tc>
          <w:tcPr>
            <w:tcW w:w="4860" w:type="dxa"/>
          </w:tcPr>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36. Инвестиционный пай является именной ценной бумагой, удостоверяющей:</w:t>
            </w:r>
          </w:p>
          <w:p w:rsidR="00F032CD" w:rsidRPr="00AE4F21" w:rsidRDefault="00F032CD" w:rsidP="00A96288">
            <w:pPr>
              <w:ind w:firstLine="567"/>
              <w:jc w:val="both"/>
              <w:rPr>
                <w:rFonts w:ascii="Times New Roman CYR" w:hAnsi="Times New Roman CYR" w:cs="Times New Roman CYR"/>
                <w:lang w:eastAsia="zh-CN"/>
              </w:rPr>
            </w:pPr>
            <w:r w:rsidRPr="00AE4F21">
              <w:rPr>
                <w:rFonts w:ascii="Times New Roman CYR" w:hAnsi="Times New Roman CYR" w:cs="Times New Roman CYR"/>
                <w:sz w:val="22"/>
                <w:szCs w:val="22"/>
                <w:lang w:eastAsia="zh-CN"/>
              </w:rPr>
              <w:t>1) долю его владельца в праве собственности на имущество, составляющее Фонд;</w:t>
            </w:r>
          </w:p>
          <w:p w:rsidR="00F032CD" w:rsidRPr="00AE4F21" w:rsidRDefault="00F032CD" w:rsidP="00A96288">
            <w:pPr>
              <w:ind w:firstLine="567"/>
              <w:jc w:val="both"/>
              <w:rPr>
                <w:rFonts w:ascii="Times New Roman CYR" w:hAnsi="Times New Roman CYR" w:cs="Times New Roman CYR"/>
                <w:lang w:eastAsia="zh-CN"/>
              </w:rPr>
            </w:pPr>
            <w:r w:rsidRPr="00AE4F21">
              <w:rPr>
                <w:rFonts w:ascii="Times New Roman CYR" w:hAnsi="Times New Roman CYR" w:cs="Times New Roman CYR"/>
                <w:sz w:val="22"/>
                <w:szCs w:val="22"/>
                <w:lang w:eastAsia="zh-CN"/>
              </w:rPr>
              <w:t>2) право требовать от Управляющей компании надлежащего доверительного управления Фондом;</w:t>
            </w:r>
          </w:p>
          <w:p w:rsidR="00F032CD" w:rsidRPr="00AE4F21" w:rsidRDefault="00F032CD" w:rsidP="00A96288">
            <w:pPr>
              <w:ind w:firstLine="567"/>
              <w:jc w:val="both"/>
              <w:rPr>
                <w:rFonts w:ascii="Times New Roman CYR" w:hAnsi="Times New Roman CYR" w:cs="Times New Roman CYR"/>
                <w:lang w:eastAsia="zh-CN"/>
              </w:rPr>
            </w:pPr>
            <w:r w:rsidRPr="00AE4F21">
              <w:rPr>
                <w:rFonts w:ascii="Times New Roman CYR" w:hAnsi="Times New Roman CYR" w:cs="Times New Roman CYR"/>
                <w:sz w:val="22"/>
                <w:szCs w:val="22"/>
                <w:lang w:eastAsia="zh-CN"/>
              </w:rPr>
              <w:t>3) право на участие в общем собрании владельцев инвестиционных паев;</w:t>
            </w:r>
          </w:p>
          <w:p w:rsidR="00F032CD" w:rsidRPr="00AE4F21" w:rsidRDefault="00F032CD" w:rsidP="00A96288">
            <w:pPr>
              <w:ind w:firstLine="567"/>
              <w:jc w:val="both"/>
              <w:rPr>
                <w:rFonts w:ascii="Times New Roman CYR" w:hAnsi="Times New Roman CYR" w:cs="Times New Roman CYR"/>
                <w:lang w:eastAsia="zh-CN"/>
              </w:rPr>
            </w:pPr>
            <w:r w:rsidRPr="00AE4F21">
              <w:rPr>
                <w:rFonts w:ascii="Times New Roman CYR" w:hAnsi="Times New Roman CYR" w:cs="Times New Roman CYR"/>
                <w:sz w:val="22"/>
                <w:szCs w:val="22"/>
                <w:lang w:eastAsia="zh-CN"/>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F032CD" w:rsidRPr="00AE4F21" w:rsidRDefault="00F032CD" w:rsidP="00A96288">
            <w:pPr>
              <w:ind w:firstLine="567"/>
              <w:jc w:val="both"/>
              <w:rPr>
                <w:rFonts w:ascii="Times New Roman CYR" w:hAnsi="Times New Roman CYR" w:cs="Times New Roman CYR"/>
                <w:lang w:eastAsia="zh-CN"/>
              </w:rPr>
            </w:pPr>
            <w:r w:rsidRPr="00AE4F21">
              <w:rPr>
                <w:rFonts w:ascii="Times New Roman CYR" w:hAnsi="Times New Roman CYR" w:cs="Times New Roman CYR"/>
                <w:sz w:val="22"/>
                <w:szCs w:val="22"/>
                <w:lang w:eastAsia="zh-CN"/>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 xml:space="preserve">6) </w:t>
            </w:r>
            <w:bookmarkStart w:id="0" w:name="OLE_LINK29"/>
            <w:bookmarkStart w:id="1" w:name="OLE_LINK31"/>
            <w:r w:rsidRPr="00BE12D8">
              <w:rPr>
                <w:rFonts w:ascii="Times New Roman CYR" w:hAnsi="Times New Roman CYR" w:cs="Times New Roman CYR"/>
                <w:sz w:val="22"/>
                <w:szCs w:val="22"/>
                <w:lang w:eastAsia="zh-CN"/>
              </w:rPr>
              <w:t>право владельцев инвестиционных паев на получение дохода по инвестиционному паю;</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 xml:space="preserve">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год. Под первым отчетным периодом понимается период </w:t>
            </w:r>
            <w:proofErr w:type="gramStart"/>
            <w:r w:rsidRPr="00BE12D8">
              <w:rPr>
                <w:rFonts w:ascii="Times New Roman CYR" w:hAnsi="Times New Roman CYR" w:cs="Times New Roman CYR"/>
                <w:sz w:val="22"/>
                <w:szCs w:val="22"/>
                <w:lang w:eastAsia="zh-CN"/>
              </w:rPr>
              <w:t>с даты завершения</w:t>
            </w:r>
            <w:proofErr w:type="gramEnd"/>
            <w:r w:rsidRPr="00BE12D8">
              <w:rPr>
                <w:rFonts w:ascii="Times New Roman CYR" w:hAnsi="Times New Roman CYR" w:cs="Times New Roman CYR"/>
                <w:sz w:val="22"/>
                <w:szCs w:val="22"/>
                <w:lang w:eastAsia="zh-CN"/>
              </w:rPr>
              <w:t xml:space="preserve"> (окончания) формирования фонда до даты окончания календарного года, в котором </w:t>
            </w:r>
            <w:r w:rsidRPr="00BE12D8">
              <w:rPr>
                <w:rFonts w:ascii="Times New Roman CYR" w:hAnsi="Times New Roman CYR" w:cs="Times New Roman CYR"/>
                <w:sz w:val="22"/>
                <w:szCs w:val="22"/>
                <w:lang w:eastAsia="zh-CN"/>
              </w:rPr>
              <w:lastRenderedPageBreak/>
              <w:t>завершено (окончено) формирование фонда.</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Выплата дохода осуществляется не позднее 20 (двадцати) дней начиная с 5 (Пятого) рабочего дня, следующего за отчетным периодом путем перечисления денежных средств на банковский счет, указанный в реестре владельцев инвестиционных паев.</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Промежуточные выплаты инвестиционного дохода в течение отчетного периода не производятся. Доход по инвестиционным паям составляет 70 (семьдесят) процентов от полученных в течение отчетного периода арендных платежей (без НДС).</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Под доходом от сдачи объектов недвижимого имущества в аренду понимается сумма следующих величин:</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w:t>
            </w:r>
            <w:r w:rsidRPr="00BE12D8">
              <w:rPr>
                <w:rFonts w:ascii="Times New Roman CYR" w:hAnsi="Times New Roman CYR" w:cs="Times New Roman CYR"/>
                <w:sz w:val="22"/>
                <w:szCs w:val="22"/>
                <w:lang w:eastAsia="zh-CN"/>
              </w:rPr>
              <w:tab/>
              <w:t>поступившая в отчетном периоде в имущество Фонда сумма денежных средств (без учета НДС) в счет оплаты за аренду недвижимого имущества в отчетном периоде и в предыдущих отчетных периодах;</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w:t>
            </w:r>
            <w:r w:rsidRPr="00BE12D8">
              <w:rPr>
                <w:rFonts w:ascii="Times New Roman CYR" w:hAnsi="Times New Roman CYR" w:cs="Times New Roman CYR"/>
                <w:sz w:val="22"/>
                <w:szCs w:val="22"/>
                <w:lang w:eastAsia="zh-CN"/>
              </w:rPr>
              <w:tab/>
              <w:t xml:space="preserve">поступившая в предыдущих отчетных периодах в имущество Фонда сумма денежных средств (без учета НДС) в счет оплаты за аренду недвижимого имущества в отчетном периоде; </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w:t>
            </w:r>
            <w:r w:rsidRPr="00BE12D8">
              <w:rPr>
                <w:rFonts w:ascii="Times New Roman CYR" w:hAnsi="Times New Roman CYR" w:cs="Times New Roman CYR"/>
                <w:sz w:val="22"/>
                <w:szCs w:val="22"/>
                <w:lang w:eastAsia="zh-CN"/>
              </w:rPr>
              <w:tab/>
              <w:t>поступившая в отчетном периоде в имущество Фонда сумма денежных средств (без учета НДС) в счет оплаты штрафных санкций и компенсации убытков в соответствии с договорами аренды;</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w:t>
            </w:r>
            <w:r w:rsidRPr="00BE12D8">
              <w:rPr>
                <w:rFonts w:ascii="Times New Roman CYR" w:hAnsi="Times New Roman CYR" w:cs="Times New Roman CYR"/>
                <w:sz w:val="22"/>
                <w:szCs w:val="22"/>
                <w:lang w:eastAsia="zh-CN"/>
              </w:rPr>
              <w:tab/>
              <w:t>поступившая в отчетном периоде или в предыдущих отчетных периодах в имущество Фонда сумма денежных средств (без учета НДС), признанная в отчетном периоде платой за аренду за отчетный период или за предыдущие отчетные периоды в соответствии с договорами аренды.</w:t>
            </w:r>
          </w:p>
          <w:p w:rsidR="00F032CD" w:rsidRPr="00BE12D8" w:rsidRDefault="00F032CD" w:rsidP="00A96288">
            <w:pPr>
              <w:ind w:firstLine="567"/>
              <w:jc w:val="both"/>
              <w:rPr>
                <w:rFonts w:ascii="Times New Roman CYR" w:hAnsi="Times New Roman CYR" w:cs="Times New Roman CYR"/>
                <w:lang w:eastAsia="zh-CN"/>
              </w:rPr>
            </w:pPr>
            <w:r w:rsidRPr="00BE12D8">
              <w:rPr>
                <w:rFonts w:ascii="Times New Roman CYR" w:hAnsi="Times New Roman CYR" w:cs="Times New Roman CYR"/>
                <w:sz w:val="22"/>
                <w:szCs w:val="22"/>
                <w:lang w:eastAsia="zh-CN"/>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bookmarkEnd w:id="0"/>
          <w:bookmarkEnd w:id="1"/>
          <w:p w:rsidR="00F032CD" w:rsidRPr="00BE12D8" w:rsidRDefault="00F032CD" w:rsidP="00A96288">
            <w:pPr>
              <w:jc w:val="both"/>
              <w:rPr>
                <w:rFonts w:ascii="Times New Roman CYR" w:hAnsi="Times New Roman CYR" w:cs="Times New Roman CYR"/>
                <w:lang w:eastAsia="zh-CN"/>
              </w:rPr>
            </w:pPr>
          </w:p>
        </w:tc>
        <w:tc>
          <w:tcPr>
            <w:tcW w:w="5040" w:type="dxa"/>
          </w:tcPr>
          <w:p w:rsidR="00F032CD" w:rsidRPr="00B41208" w:rsidRDefault="00F032CD" w:rsidP="00A96288">
            <w:pPr>
              <w:ind w:firstLine="567"/>
              <w:jc w:val="both"/>
              <w:rPr>
                <w:rFonts w:ascii="Times New Roman CYR" w:hAnsi="Times New Roman CYR" w:cs="Times New Roman CYR"/>
                <w:lang w:eastAsia="zh-CN"/>
              </w:rPr>
            </w:pPr>
            <w:r w:rsidRPr="00B41208">
              <w:rPr>
                <w:sz w:val="22"/>
                <w:szCs w:val="22"/>
              </w:rPr>
              <w:lastRenderedPageBreak/>
              <w:t>36. </w:t>
            </w:r>
            <w:r w:rsidRPr="00B41208">
              <w:rPr>
                <w:rFonts w:ascii="Times New Roman CYR" w:hAnsi="Times New Roman CYR" w:cs="Times New Roman CYR"/>
                <w:sz w:val="22"/>
                <w:szCs w:val="22"/>
                <w:lang w:eastAsia="zh-CN"/>
              </w:rPr>
              <w:t>Инвестиционный пай является именной ценной бумагой, удостоверяющей:</w:t>
            </w:r>
          </w:p>
          <w:p w:rsidR="00F032CD" w:rsidRPr="006F0017" w:rsidRDefault="00F032CD" w:rsidP="00A96288">
            <w:pPr>
              <w:ind w:firstLine="567"/>
              <w:jc w:val="both"/>
              <w:rPr>
                <w:rFonts w:ascii="Times New Roman CYR" w:hAnsi="Times New Roman CYR" w:cs="Times New Roman CYR"/>
                <w:lang w:eastAsia="zh-CN"/>
              </w:rPr>
            </w:pPr>
            <w:r w:rsidRPr="006F0017">
              <w:rPr>
                <w:rFonts w:ascii="Times New Roman CYR" w:hAnsi="Times New Roman CYR" w:cs="Times New Roman CYR"/>
                <w:sz w:val="22"/>
                <w:szCs w:val="22"/>
                <w:lang w:eastAsia="zh-CN"/>
              </w:rPr>
              <w:t>1) долю его владельца в праве собственности на имущество, составляющее Фонд;</w:t>
            </w:r>
          </w:p>
          <w:p w:rsidR="00F032CD" w:rsidRPr="006F0017" w:rsidRDefault="00F032CD" w:rsidP="00A96288">
            <w:pPr>
              <w:ind w:firstLine="567"/>
              <w:jc w:val="both"/>
              <w:rPr>
                <w:rFonts w:ascii="Times New Roman CYR" w:hAnsi="Times New Roman CYR" w:cs="Times New Roman CYR"/>
                <w:lang w:eastAsia="zh-CN"/>
              </w:rPr>
            </w:pPr>
            <w:r w:rsidRPr="006F0017">
              <w:rPr>
                <w:rFonts w:ascii="Times New Roman CYR" w:hAnsi="Times New Roman CYR" w:cs="Times New Roman CYR"/>
                <w:sz w:val="22"/>
                <w:szCs w:val="22"/>
                <w:lang w:eastAsia="zh-CN"/>
              </w:rPr>
              <w:t>2) право требовать от Управляющей компании надлежащего доверительного управления Фондом;</w:t>
            </w:r>
          </w:p>
          <w:p w:rsidR="00F032CD" w:rsidRPr="006F0017" w:rsidRDefault="00F032CD" w:rsidP="00A96288">
            <w:pPr>
              <w:ind w:firstLine="567"/>
              <w:jc w:val="both"/>
              <w:rPr>
                <w:rFonts w:ascii="Times New Roman CYR" w:hAnsi="Times New Roman CYR" w:cs="Times New Roman CYR"/>
                <w:lang w:eastAsia="zh-CN"/>
              </w:rPr>
            </w:pPr>
            <w:r w:rsidRPr="006F0017">
              <w:rPr>
                <w:rFonts w:ascii="Times New Roman CYR" w:hAnsi="Times New Roman CYR" w:cs="Times New Roman CYR"/>
                <w:sz w:val="22"/>
                <w:szCs w:val="22"/>
                <w:lang w:eastAsia="zh-CN"/>
              </w:rPr>
              <w:t>3) право на участие в общем собрании владельцев инвестиционных паев;</w:t>
            </w:r>
          </w:p>
          <w:p w:rsidR="00F032CD" w:rsidRPr="006F0017" w:rsidRDefault="00F032CD" w:rsidP="00A96288">
            <w:pPr>
              <w:ind w:firstLine="567"/>
              <w:jc w:val="both"/>
              <w:rPr>
                <w:rFonts w:ascii="Times New Roman CYR" w:hAnsi="Times New Roman CYR" w:cs="Times New Roman CYR"/>
                <w:lang w:eastAsia="zh-CN"/>
              </w:rPr>
            </w:pPr>
            <w:r w:rsidRPr="006F0017">
              <w:rPr>
                <w:rFonts w:ascii="Times New Roman CYR" w:hAnsi="Times New Roman CYR" w:cs="Times New Roman CYR"/>
                <w:sz w:val="22"/>
                <w:szCs w:val="22"/>
                <w:lang w:eastAsia="zh-CN"/>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F032CD" w:rsidRPr="006F0017" w:rsidRDefault="00F032CD" w:rsidP="00A96288">
            <w:pPr>
              <w:ind w:firstLine="567"/>
              <w:jc w:val="both"/>
              <w:rPr>
                <w:rFonts w:ascii="Times New Roman CYR" w:hAnsi="Times New Roman CYR" w:cs="Times New Roman CYR"/>
                <w:lang w:eastAsia="zh-CN"/>
              </w:rPr>
            </w:pPr>
            <w:r w:rsidRPr="006F0017">
              <w:rPr>
                <w:rFonts w:ascii="Times New Roman CYR" w:hAnsi="Times New Roman CYR" w:cs="Times New Roman CYR"/>
                <w:sz w:val="22"/>
                <w:szCs w:val="22"/>
                <w:lang w:eastAsia="zh-CN"/>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F032CD" w:rsidRPr="00B41208" w:rsidRDefault="00F032CD" w:rsidP="00A96288">
            <w:pPr>
              <w:ind w:firstLine="567"/>
              <w:jc w:val="both"/>
              <w:rPr>
                <w:rFonts w:ascii="Times New Roman CYR" w:hAnsi="Times New Roman CYR" w:cs="Times New Roman CYR"/>
                <w:lang w:eastAsia="zh-CN"/>
              </w:rPr>
            </w:pPr>
            <w:r>
              <w:rPr>
                <w:rFonts w:ascii="Times New Roman CYR" w:hAnsi="Times New Roman CYR" w:cs="Times New Roman CYR"/>
                <w:sz w:val="22"/>
                <w:szCs w:val="22"/>
                <w:lang w:eastAsia="zh-CN"/>
              </w:rPr>
              <w:t>6</w:t>
            </w:r>
            <w:r w:rsidRPr="00B41208">
              <w:rPr>
                <w:rFonts w:ascii="Times New Roman CYR" w:hAnsi="Times New Roman CYR" w:cs="Times New Roman CYR"/>
                <w:sz w:val="22"/>
                <w:szCs w:val="22"/>
                <w:lang w:eastAsia="zh-CN"/>
              </w:rPr>
              <w:t>) право владельцев инвестиционных паев на получение дохода по инвестиционному паю;</w:t>
            </w:r>
          </w:p>
          <w:p w:rsidR="00F032CD" w:rsidRPr="000D75D3" w:rsidRDefault="00F032CD" w:rsidP="00A96288">
            <w:pPr>
              <w:spacing w:line="276" w:lineRule="auto"/>
              <w:ind w:firstLine="567"/>
              <w:jc w:val="both"/>
            </w:pPr>
            <w:r w:rsidRPr="00B41208">
              <w:rPr>
                <w:rFonts w:ascii="Times New Roman CYR" w:hAnsi="Times New Roman CYR" w:cs="Times New Roman CYR"/>
                <w:sz w:val="22"/>
                <w:szCs w:val="22"/>
                <w:lang w:eastAsia="zh-CN"/>
              </w:rPr>
              <w:t>Доход по инвестиционн</w:t>
            </w:r>
            <w:r>
              <w:rPr>
                <w:rFonts w:ascii="Times New Roman CYR" w:hAnsi="Times New Roman CYR" w:cs="Times New Roman CYR"/>
                <w:sz w:val="22"/>
                <w:szCs w:val="22"/>
                <w:lang w:eastAsia="zh-CN"/>
              </w:rPr>
              <w:t>ым</w:t>
            </w:r>
            <w:r w:rsidRPr="00B41208">
              <w:rPr>
                <w:rFonts w:ascii="Times New Roman CYR" w:hAnsi="Times New Roman CYR" w:cs="Times New Roman CYR"/>
                <w:sz w:val="22"/>
                <w:szCs w:val="22"/>
                <w:lang w:eastAsia="zh-CN"/>
              </w:rPr>
              <w:t xml:space="preserve"> па</w:t>
            </w:r>
            <w:r>
              <w:rPr>
                <w:rFonts w:ascii="Times New Roman CYR" w:hAnsi="Times New Roman CYR" w:cs="Times New Roman CYR"/>
                <w:sz w:val="22"/>
                <w:szCs w:val="22"/>
                <w:lang w:eastAsia="zh-CN"/>
              </w:rPr>
              <w:t>ям</w:t>
            </w:r>
            <w:r w:rsidRPr="00B41208">
              <w:rPr>
                <w:rFonts w:ascii="Times New Roman CYR" w:hAnsi="Times New Roman CYR" w:cs="Times New Roman CYR"/>
                <w:sz w:val="22"/>
                <w:szCs w:val="22"/>
                <w:lang w:eastAsia="zh-CN"/>
              </w:rPr>
              <w:t xml:space="preserve"> выплачивается владельцам инвестиционных паев по завершении отчетного периода. Под отчетным периодом понимается календарный месяц.  </w:t>
            </w:r>
            <w:r>
              <w:rPr>
                <w:rFonts w:ascii="Times New Roman CYR" w:hAnsi="Times New Roman CYR" w:cs="Times New Roman CYR"/>
                <w:sz w:val="22"/>
                <w:szCs w:val="22"/>
                <w:lang w:eastAsia="zh-CN"/>
              </w:rPr>
              <w:t>Под первым отчетным периодом после</w:t>
            </w:r>
            <w:r w:rsidRPr="00946F63">
              <w:rPr>
                <w:rFonts w:ascii="Times New Roman CYR" w:hAnsi="Times New Roman CYR" w:cs="Times New Roman CYR"/>
                <w:sz w:val="22"/>
                <w:szCs w:val="22"/>
                <w:lang w:eastAsia="zh-CN"/>
              </w:rPr>
              <w:t xml:space="preserve"> даты вступления в силу изменений в настоящие Правила, связанных с изменением порядка определения размера дохода от доверительного управления Фондом, распределяемого между владельцами инвестиционных паев</w:t>
            </w:r>
            <w:r w:rsidRPr="004B7FF2">
              <w:rPr>
                <w:rFonts w:ascii="Times New Roman CYR" w:hAnsi="Times New Roman CYR" w:cs="Times New Roman CYR"/>
                <w:sz w:val="22"/>
                <w:szCs w:val="22"/>
                <w:lang w:eastAsia="zh-CN"/>
              </w:rPr>
              <w:t xml:space="preserve"> </w:t>
            </w:r>
            <w:r>
              <w:rPr>
                <w:rFonts w:ascii="Times New Roman CYR" w:hAnsi="Times New Roman CYR" w:cs="Times New Roman CYR"/>
                <w:sz w:val="22"/>
                <w:szCs w:val="22"/>
                <w:lang w:eastAsia="zh-CN"/>
              </w:rPr>
              <w:t xml:space="preserve">понимается </w:t>
            </w:r>
            <w:r w:rsidRPr="00946F63">
              <w:rPr>
                <w:rFonts w:ascii="Times New Roman CYR" w:hAnsi="Times New Roman CYR" w:cs="Times New Roman CYR"/>
                <w:sz w:val="22"/>
                <w:szCs w:val="22"/>
                <w:lang w:eastAsia="zh-CN"/>
              </w:rPr>
              <w:lastRenderedPageBreak/>
              <w:t>период</w:t>
            </w:r>
            <w:r w:rsidRPr="004B7FF2">
              <w:rPr>
                <w:rFonts w:ascii="Times New Roman CYR" w:hAnsi="Times New Roman CYR" w:cs="Times New Roman CYR"/>
                <w:sz w:val="22"/>
                <w:szCs w:val="22"/>
                <w:lang w:eastAsia="zh-CN"/>
              </w:rPr>
              <w:t xml:space="preserve"> </w:t>
            </w:r>
            <w:r>
              <w:rPr>
                <w:rFonts w:ascii="Times New Roman CYR" w:hAnsi="Times New Roman CYR" w:cs="Times New Roman CYR"/>
                <w:sz w:val="22"/>
                <w:szCs w:val="22"/>
                <w:lang w:eastAsia="zh-CN"/>
              </w:rPr>
              <w:t>с указанной даты</w:t>
            </w:r>
            <w:r w:rsidRPr="004B7FF2">
              <w:rPr>
                <w:rFonts w:ascii="Times New Roman CYR" w:hAnsi="Times New Roman CYR" w:cs="Times New Roman CYR"/>
                <w:sz w:val="22"/>
                <w:szCs w:val="22"/>
                <w:lang w:eastAsia="zh-CN"/>
              </w:rPr>
              <w:t xml:space="preserve"> </w:t>
            </w:r>
            <w:r w:rsidRPr="00946F63">
              <w:rPr>
                <w:rFonts w:ascii="Times New Roman CYR" w:hAnsi="Times New Roman CYR" w:cs="Times New Roman CYR"/>
                <w:sz w:val="22"/>
                <w:szCs w:val="22"/>
                <w:lang w:eastAsia="zh-CN"/>
              </w:rPr>
              <w:t xml:space="preserve"> до даты окончания календарного месяца, в котором соответствующие изменения вступили в силу.</w:t>
            </w:r>
          </w:p>
          <w:p w:rsidR="00F032CD" w:rsidRPr="00B41208"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Выплата дохода осуществляется,  не позднее 30 (Тридцати) дней начиная с 5 (Пятого) рабочего дня следующего за отчетным периодом.</w:t>
            </w:r>
          </w:p>
          <w:p w:rsidR="00F032CD" w:rsidRPr="008C36B1"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Промежуточные выплаты инвестиционного дохода в течение отчетного периода не производятся. Доход по инвестиционн</w:t>
            </w:r>
            <w:r>
              <w:rPr>
                <w:rFonts w:ascii="Times New Roman CYR" w:hAnsi="Times New Roman CYR" w:cs="Times New Roman CYR"/>
                <w:sz w:val="22"/>
                <w:szCs w:val="22"/>
                <w:lang w:eastAsia="zh-CN"/>
              </w:rPr>
              <w:t>ым</w:t>
            </w:r>
            <w:r w:rsidRPr="00B41208">
              <w:rPr>
                <w:rFonts w:ascii="Times New Roman CYR" w:hAnsi="Times New Roman CYR" w:cs="Times New Roman CYR"/>
                <w:sz w:val="22"/>
                <w:szCs w:val="22"/>
                <w:lang w:eastAsia="zh-CN"/>
              </w:rPr>
              <w:t xml:space="preserve"> па</w:t>
            </w:r>
            <w:r>
              <w:rPr>
                <w:rFonts w:ascii="Times New Roman CYR" w:hAnsi="Times New Roman CYR" w:cs="Times New Roman CYR"/>
                <w:sz w:val="22"/>
                <w:szCs w:val="22"/>
                <w:lang w:eastAsia="zh-CN"/>
              </w:rPr>
              <w:t>ям</w:t>
            </w:r>
            <w:r w:rsidRPr="00B41208">
              <w:rPr>
                <w:rFonts w:ascii="Times New Roman CYR" w:hAnsi="Times New Roman CYR" w:cs="Times New Roman CYR"/>
                <w:sz w:val="22"/>
                <w:szCs w:val="22"/>
                <w:lang w:eastAsia="zh-CN"/>
              </w:rPr>
              <w:t xml:space="preserve"> составляет 100 (</w:t>
            </w:r>
            <w:proofErr w:type="spellStart"/>
            <w:proofErr w:type="gramStart"/>
            <w:r w:rsidRPr="00B41208">
              <w:rPr>
                <w:rFonts w:ascii="Times New Roman CYR" w:hAnsi="Times New Roman CYR" w:cs="Times New Roman CYR"/>
                <w:sz w:val="22"/>
                <w:szCs w:val="22"/>
                <w:lang w:eastAsia="zh-CN"/>
              </w:rPr>
              <w:t>C</w:t>
            </w:r>
            <w:proofErr w:type="gramEnd"/>
            <w:r w:rsidRPr="00B41208">
              <w:rPr>
                <w:rFonts w:ascii="Times New Roman CYR" w:hAnsi="Times New Roman CYR" w:cs="Times New Roman CYR"/>
                <w:sz w:val="22"/>
                <w:szCs w:val="22"/>
                <w:lang w:eastAsia="zh-CN"/>
              </w:rPr>
              <w:t>то</w:t>
            </w:r>
            <w:proofErr w:type="spellEnd"/>
            <w:r w:rsidRPr="00B41208">
              <w:rPr>
                <w:rFonts w:ascii="Times New Roman CYR" w:hAnsi="Times New Roman CYR" w:cs="Times New Roman CYR"/>
                <w:sz w:val="22"/>
                <w:szCs w:val="22"/>
                <w:lang w:eastAsia="zh-CN"/>
              </w:rPr>
              <w:t xml:space="preserve">) процентов от суммы денежных средств, находящихся на расчетном счету № </w:t>
            </w:r>
            <w:r w:rsidRPr="008C36B1">
              <w:rPr>
                <w:rFonts w:ascii="Times New Roman CYR" w:hAnsi="Times New Roman CYR" w:cs="Times New Roman CYR"/>
                <w:sz w:val="22"/>
                <w:szCs w:val="22"/>
                <w:lang w:eastAsia="zh-CN"/>
              </w:rPr>
              <w:t>40701810200004260402,</w:t>
            </w:r>
            <w:r w:rsidRPr="00AE4F21">
              <w:rPr>
                <w:rFonts w:ascii="Times New Roman CYR" w:hAnsi="Times New Roman CYR" w:cs="Times New Roman CYR"/>
                <w:sz w:val="22"/>
                <w:szCs w:val="22"/>
                <w:lang w:eastAsia="zh-CN"/>
              </w:rPr>
              <w:t xml:space="preserve"> открытом в </w:t>
            </w:r>
            <w:r w:rsidRPr="00B41208">
              <w:rPr>
                <w:rFonts w:ascii="Times New Roman CYR" w:hAnsi="Times New Roman CYR" w:cs="Times New Roman CYR"/>
                <w:sz w:val="22"/>
                <w:szCs w:val="22"/>
                <w:lang w:eastAsia="zh-CN"/>
              </w:rPr>
              <w:t>АКЦИОНЕРНОМ КОММЕРЧЕСКОМ ИННОВАЦИОННОМ БАНКЕ «ОБРАЗОВАНИЕ» (закрытое акционерное общество)</w:t>
            </w:r>
            <w:r>
              <w:rPr>
                <w:rFonts w:ascii="Times New Roman CYR" w:hAnsi="Times New Roman CYR" w:cs="Times New Roman CYR"/>
                <w:sz w:val="22"/>
                <w:szCs w:val="22"/>
                <w:lang w:eastAsia="zh-CN"/>
              </w:rPr>
              <w:t>,</w:t>
            </w:r>
            <w:r w:rsidRPr="00B41208">
              <w:rPr>
                <w:rFonts w:ascii="Times New Roman CYR" w:hAnsi="Times New Roman CYR" w:cs="Times New Roman CYR"/>
                <w:sz w:val="22"/>
                <w:szCs w:val="22"/>
                <w:lang w:eastAsia="zh-CN"/>
              </w:rPr>
              <w:t xml:space="preserve"> на последний рабочий день отчетного периода.</w:t>
            </w:r>
          </w:p>
          <w:p w:rsidR="00F032CD" w:rsidRPr="00B41208"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Доход по инвестиционн</w:t>
            </w:r>
            <w:r>
              <w:rPr>
                <w:rFonts w:ascii="Times New Roman CYR" w:hAnsi="Times New Roman CYR" w:cs="Times New Roman CYR"/>
                <w:sz w:val="22"/>
                <w:szCs w:val="22"/>
                <w:lang w:eastAsia="zh-CN"/>
              </w:rPr>
              <w:t>ым</w:t>
            </w:r>
            <w:r w:rsidRPr="00B41208">
              <w:rPr>
                <w:rFonts w:ascii="Times New Roman CYR" w:hAnsi="Times New Roman CYR" w:cs="Times New Roman CYR"/>
                <w:sz w:val="22"/>
                <w:szCs w:val="22"/>
                <w:lang w:eastAsia="zh-CN"/>
              </w:rPr>
              <w:t xml:space="preserve"> па</w:t>
            </w:r>
            <w:r>
              <w:rPr>
                <w:rFonts w:ascii="Times New Roman CYR" w:hAnsi="Times New Roman CYR" w:cs="Times New Roman CYR"/>
                <w:sz w:val="22"/>
                <w:szCs w:val="22"/>
                <w:lang w:eastAsia="zh-CN"/>
              </w:rPr>
              <w:t>ям</w:t>
            </w:r>
            <w:r w:rsidRPr="00B41208">
              <w:rPr>
                <w:rFonts w:ascii="Times New Roman CYR" w:hAnsi="Times New Roman CYR" w:cs="Times New Roman CYR"/>
                <w:sz w:val="22"/>
                <w:szCs w:val="22"/>
                <w:lang w:eastAsia="zh-CN"/>
              </w:rPr>
              <w:t xml:space="preserve"> выплачивается владельцам инвестиционных паев исходя из количества принадлежащих им инвестиционных паев </w:t>
            </w:r>
            <w:r>
              <w:rPr>
                <w:rFonts w:ascii="Times New Roman CYR" w:hAnsi="Times New Roman CYR" w:cs="Times New Roman CYR"/>
                <w:sz w:val="22"/>
                <w:szCs w:val="22"/>
                <w:lang w:eastAsia="zh-CN"/>
              </w:rPr>
              <w:t>ф</w:t>
            </w:r>
            <w:r w:rsidRPr="00B41208">
              <w:rPr>
                <w:rFonts w:ascii="Times New Roman CYR" w:hAnsi="Times New Roman CYR" w:cs="Times New Roman CYR"/>
                <w:sz w:val="22"/>
                <w:szCs w:val="22"/>
                <w:lang w:eastAsia="zh-CN"/>
              </w:rPr>
              <w:t xml:space="preserve">онда на дату составления списка лиц, имеющих право на получение дохода по инвестиционному паю </w:t>
            </w:r>
            <w:r>
              <w:rPr>
                <w:rFonts w:ascii="Times New Roman CYR" w:hAnsi="Times New Roman CYR" w:cs="Times New Roman CYR"/>
                <w:sz w:val="22"/>
                <w:szCs w:val="22"/>
                <w:lang w:eastAsia="zh-CN"/>
              </w:rPr>
              <w:t>ф</w:t>
            </w:r>
            <w:r w:rsidRPr="00B41208">
              <w:rPr>
                <w:rFonts w:ascii="Times New Roman CYR" w:hAnsi="Times New Roman CYR" w:cs="Times New Roman CYR"/>
                <w:sz w:val="22"/>
                <w:szCs w:val="22"/>
                <w:lang w:eastAsia="zh-CN"/>
              </w:rPr>
              <w:t>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rsidR="00F032CD" w:rsidRPr="00B41208"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 xml:space="preserve">Доход по инвестиционным паям начисляется владельцам инвестиционных паев по итогам каждого отчетного периода в 5 (Пятый) рабочий день месяца следующего за отчетным периодом. </w:t>
            </w:r>
          </w:p>
          <w:p w:rsidR="00F032CD" w:rsidRPr="00B41208"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Выплата дохода по инвестиционн</w:t>
            </w:r>
            <w:r>
              <w:rPr>
                <w:rFonts w:ascii="Times New Roman CYR" w:hAnsi="Times New Roman CYR" w:cs="Times New Roman CYR"/>
                <w:sz w:val="22"/>
                <w:szCs w:val="22"/>
                <w:lang w:eastAsia="zh-CN"/>
              </w:rPr>
              <w:t>ым</w:t>
            </w:r>
            <w:r w:rsidRPr="00B41208">
              <w:rPr>
                <w:rFonts w:ascii="Times New Roman CYR" w:hAnsi="Times New Roman CYR" w:cs="Times New Roman CYR"/>
                <w:sz w:val="22"/>
                <w:szCs w:val="22"/>
                <w:lang w:eastAsia="zh-CN"/>
              </w:rPr>
              <w:t xml:space="preserve"> па</w:t>
            </w:r>
            <w:r>
              <w:rPr>
                <w:rFonts w:ascii="Times New Roman CYR" w:hAnsi="Times New Roman CYR" w:cs="Times New Roman CYR"/>
                <w:sz w:val="22"/>
                <w:szCs w:val="22"/>
                <w:lang w:eastAsia="zh-CN"/>
              </w:rPr>
              <w:t>ям</w:t>
            </w:r>
            <w:r w:rsidRPr="00B41208">
              <w:rPr>
                <w:rFonts w:ascii="Times New Roman CYR" w:hAnsi="Times New Roman CYR" w:cs="Times New Roman CYR"/>
                <w:sz w:val="22"/>
                <w:szCs w:val="22"/>
                <w:lang w:eastAsia="zh-CN"/>
              </w:rPr>
              <w:t xml:space="preserve"> осуществляется путем его перечисления на банковский счет, реквизиты которого указаны в реестре владельцев инвестиционных паев. </w:t>
            </w:r>
          </w:p>
          <w:p w:rsidR="00F032CD" w:rsidRPr="00B41208" w:rsidRDefault="00F032CD" w:rsidP="00A96288">
            <w:pPr>
              <w:ind w:firstLine="567"/>
              <w:jc w:val="both"/>
              <w:rPr>
                <w:rFonts w:ascii="Times New Roman CYR" w:hAnsi="Times New Roman CYR" w:cs="Times New Roman CYR"/>
                <w:lang w:eastAsia="zh-CN"/>
              </w:rPr>
            </w:pPr>
            <w:r w:rsidRPr="00B41208">
              <w:rPr>
                <w:rFonts w:ascii="Times New Roman CYR" w:hAnsi="Times New Roman CYR" w:cs="Times New Roman CYR"/>
                <w:sz w:val="22"/>
                <w:szCs w:val="22"/>
                <w:lang w:eastAsia="zh-CN"/>
              </w:rPr>
              <w:t xml:space="preserve">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B41208">
              <w:rPr>
                <w:rFonts w:ascii="Times New Roman CYR" w:hAnsi="Times New Roman CYR" w:cs="Times New Roman CYR"/>
                <w:sz w:val="22"/>
                <w:szCs w:val="22"/>
                <w:lang w:eastAsia="zh-CN"/>
              </w:rPr>
              <w:t>с даты получения</w:t>
            </w:r>
            <w:proofErr w:type="gramEnd"/>
            <w:r w:rsidRPr="00B41208">
              <w:rPr>
                <w:rFonts w:ascii="Times New Roman CYR" w:hAnsi="Times New Roman CYR" w:cs="Times New Roman CYR"/>
                <w:sz w:val="22"/>
                <w:szCs w:val="22"/>
                <w:lang w:eastAsia="zh-CN"/>
              </w:rPr>
              <w:t xml:space="preserve"> управляющей компанией необходимых сведений о реквизитах банковского счета для перечисления дохода.</w:t>
            </w:r>
          </w:p>
          <w:p w:rsidR="00F032CD" w:rsidRDefault="00F032CD" w:rsidP="00A96288"/>
        </w:tc>
      </w:tr>
    </w:tbl>
    <w:p w:rsidR="002F09B5" w:rsidRDefault="002F09B5"/>
    <w:p w:rsidR="006A70A1" w:rsidRDefault="006A70A1"/>
    <w:p w:rsidR="006A70A1" w:rsidRDefault="006A70A1"/>
    <w:p w:rsidR="006A70A1" w:rsidRDefault="006A70A1" w:rsidP="006A70A1">
      <w:r w:rsidRPr="0002385C">
        <w:t xml:space="preserve">Генеральный директор                                                                                      </w:t>
      </w:r>
      <w:r w:rsidR="00664ABC">
        <w:t>Горбенко П.Л</w:t>
      </w:r>
      <w:r w:rsidR="0002385C">
        <w:t>.</w:t>
      </w:r>
    </w:p>
    <w:p w:rsidR="006A70A1" w:rsidRDefault="006A70A1"/>
    <w:sectPr w:rsidR="006A70A1" w:rsidSect="00CB366F">
      <w:pgSz w:w="11906" w:h="16838"/>
      <w:pgMar w:top="1134"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472AA"/>
    <w:multiLevelType w:val="multilevel"/>
    <w:tmpl w:val="DAC65FDE"/>
    <w:lvl w:ilvl="0">
      <w:start w:val="1"/>
      <w:numFmt w:val="decimal"/>
      <w:lvlText w:val="%1."/>
      <w:lvlJc w:val="left"/>
      <w:pPr>
        <w:tabs>
          <w:tab w:val="num" w:pos="1140"/>
        </w:tabs>
        <w:ind w:left="1140" w:hanging="420"/>
      </w:pPr>
      <w:rPr>
        <w:rFonts w:cs="Times New Roman" w:hint="default"/>
        <w:b w:val="0"/>
        <w:i w:val="0"/>
        <w:sz w:val="24"/>
        <w:szCs w:val="24"/>
      </w:rPr>
    </w:lvl>
    <w:lvl w:ilvl="1">
      <w:start w:val="1"/>
      <w:numFmt w:val="decimal"/>
      <w:lvlText w:val="%1.%2."/>
      <w:lvlJc w:val="left"/>
      <w:pPr>
        <w:tabs>
          <w:tab w:val="num" w:pos="1140"/>
        </w:tabs>
        <w:ind w:left="1140" w:hanging="420"/>
      </w:pPr>
      <w:rPr>
        <w:rFonts w:cs="Times New Roman" w:hint="default"/>
        <w:b w:val="0"/>
        <w:i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CB366F"/>
    <w:rsid w:val="0002385C"/>
    <w:rsid w:val="0002500F"/>
    <w:rsid w:val="000A550D"/>
    <w:rsid w:val="000B75A4"/>
    <w:rsid w:val="000C1C1C"/>
    <w:rsid w:val="000D75D3"/>
    <w:rsid w:val="001777A0"/>
    <w:rsid w:val="001E31A2"/>
    <w:rsid w:val="00222402"/>
    <w:rsid w:val="00234878"/>
    <w:rsid w:val="00242509"/>
    <w:rsid w:val="00242575"/>
    <w:rsid w:val="00252D45"/>
    <w:rsid w:val="002B7DFB"/>
    <w:rsid w:val="002F09B5"/>
    <w:rsid w:val="00344810"/>
    <w:rsid w:val="003A1961"/>
    <w:rsid w:val="003B31A7"/>
    <w:rsid w:val="003E4B6E"/>
    <w:rsid w:val="0047092C"/>
    <w:rsid w:val="004739B3"/>
    <w:rsid w:val="00494E14"/>
    <w:rsid w:val="004A4C14"/>
    <w:rsid w:val="004B7FF2"/>
    <w:rsid w:val="00581F17"/>
    <w:rsid w:val="005846E4"/>
    <w:rsid w:val="005921CC"/>
    <w:rsid w:val="00617CB1"/>
    <w:rsid w:val="00654D84"/>
    <w:rsid w:val="00664ABC"/>
    <w:rsid w:val="006A70A1"/>
    <w:rsid w:val="006C7418"/>
    <w:rsid w:val="006F0017"/>
    <w:rsid w:val="0070046D"/>
    <w:rsid w:val="007178AF"/>
    <w:rsid w:val="0072288B"/>
    <w:rsid w:val="00734DD3"/>
    <w:rsid w:val="007358CC"/>
    <w:rsid w:val="00867425"/>
    <w:rsid w:val="008C36B1"/>
    <w:rsid w:val="00946F63"/>
    <w:rsid w:val="00962FF7"/>
    <w:rsid w:val="009A3A44"/>
    <w:rsid w:val="009B19F7"/>
    <w:rsid w:val="009C5027"/>
    <w:rsid w:val="009D27DE"/>
    <w:rsid w:val="009D723A"/>
    <w:rsid w:val="00A16525"/>
    <w:rsid w:val="00A24939"/>
    <w:rsid w:val="00A27C7F"/>
    <w:rsid w:val="00A3407C"/>
    <w:rsid w:val="00A55FFC"/>
    <w:rsid w:val="00A85BB2"/>
    <w:rsid w:val="00A96288"/>
    <w:rsid w:val="00AE3A20"/>
    <w:rsid w:val="00AE4F21"/>
    <w:rsid w:val="00B41208"/>
    <w:rsid w:val="00BC1D94"/>
    <w:rsid w:val="00BC3573"/>
    <w:rsid w:val="00BE12D8"/>
    <w:rsid w:val="00C06E67"/>
    <w:rsid w:val="00C21763"/>
    <w:rsid w:val="00C65224"/>
    <w:rsid w:val="00C66784"/>
    <w:rsid w:val="00CB366F"/>
    <w:rsid w:val="00DC6613"/>
    <w:rsid w:val="00F032CD"/>
    <w:rsid w:val="00F06A88"/>
    <w:rsid w:val="00F20136"/>
    <w:rsid w:val="00F209D1"/>
    <w:rsid w:val="00F67855"/>
    <w:rsid w:val="00F805D2"/>
    <w:rsid w:val="00FC3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6F"/>
    <w:pPr>
      <w:spacing w:after="0" w:line="240" w:lineRule="auto"/>
    </w:pPr>
    <w:rPr>
      <w:rFonts w:ascii="Times New Roman" w:hAnsi="Times New Roman" w:cs="Times New Roman"/>
      <w:sz w:val="24"/>
      <w:szCs w:val="24"/>
      <w:lang w:eastAsia="ru-RU"/>
    </w:rPr>
  </w:style>
  <w:style w:type="paragraph" w:styleId="3">
    <w:name w:val="heading 3"/>
    <w:basedOn w:val="a"/>
    <w:next w:val="a"/>
    <w:link w:val="30"/>
    <w:uiPriority w:val="99"/>
    <w:qFormat/>
    <w:rsid w:val="00CB366F"/>
    <w:pPr>
      <w:keepNext/>
      <w:autoSpaceDE w:val="0"/>
      <w:autoSpaceDN w:val="0"/>
      <w:spacing w:after="6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B366F"/>
    <w:rPr>
      <w:rFonts w:ascii="Times New Roman" w:hAnsi="Times New Roman" w:cs="Times New Roman"/>
      <w:sz w:val="24"/>
      <w:szCs w:val="24"/>
      <w:lang w:eastAsia="ru-RU"/>
    </w:rPr>
  </w:style>
  <w:style w:type="paragraph" w:styleId="a3">
    <w:name w:val="Title"/>
    <w:basedOn w:val="a"/>
    <w:link w:val="a4"/>
    <w:uiPriority w:val="99"/>
    <w:qFormat/>
    <w:rsid w:val="00CB366F"/>
    <w:pPr>
      <w:autoSpaceDE w:val="0"/>
      <w:autoSpaceDN w:val="0"/>
      <w:spacing w:line="280" w:lineRule="exact"/>
      <w:ind w:firstLine="288"/>
      <w:jc w:val="center"/>
    </w:pPr>
    <w:rPr>
      <w:rFonts w:ascii="Arial" w:hAnsi="Arial" w:cs="Arial"/>
    </w:rPr>
  </w:style>
  <w:style w:type="character" w:customStyle="1" w:styleId="a4">
    <w:name w:val="Название Знак"/>
    <w:basedOn w:val="a0"/>
    <w:link w:val="a3"/>
    <w:uiPriority w:val="99"/>
    <w:locked/>
    <w:rsid w:val="00CB366F"/>
    <w:rPr>
      <w:rFonts w:ascii="Arial" w:hAnsi="Arial" w:cs="Arial"/>
      <w:sz w:val="24"/>
      <w:szCs w:val="24"/>
      <w:lang w:eastAsia="ru-RU"/>
    </w:rPr>
  </w:style>
  <w:style w:type="paragraph" w:customStyle="1" w:styleId="ConsNonformat">
    <w:name w:val="ConsNonformat"/>
    <w:uiPriority w:val="99"/>
    <w:rsid w:val="00CB366F"/>
    <w:pPr>
      <w:widowControl w:val="0"/>
      <w:spacing w:after="0" w:line="240" w:lineRule="auto"/>
    </w:pPr>
    <w:rPr>
      <w:rFonts w:ascii="Courier New" w:hAnsi="Courier New" w:cs="Courier New"/>
      <w:sz w:val="20"/>
      <w:szCs w:val="20"/>
    </w:rPr>
  </w:style>
  <w:style w:type="paragraph" w:styleId="a5">
    <w:name w:val="Plain Text"/>
    <w:basedOn w:val="a"/>
    <w:link w:val="a6"/>
    <w:uiPriority w:val="99"/>
    <w:rsid w:val="00CB366F"/>
    <w:rPr>
      <w:rFonts w:ascii="Courier New" w:hAnsi="Courier New" w:cs="Courier New"/>
      <w:sz w:val="20"/>
      <w:szCs w:val="20"/>
    </w:rPr>
  </w:style>
  <w:style w:type="character" w:customStyle="1" w:styleId="a6">
    <w:name w:val="Текст Знак"/>
    <w:basedOn w:val="a0"/>
    <w:link w:val="a5"/>
    <w:uiPriority w:val="99"/>
    <w:locked/>
    <w:rsid w:val="00CB366F"/>
    <w:rPr>
      <w:rFonts w:ascii="Courier New" w:hAnsi="Courier New" w:cs="Courier New"/>
      <w:sz w:val="20"/>
      <w:szCs w:val="20"/>
      <w:lang w:eastAsia="ru-RU"/>
    </w:rPr>
  </w:style>
  <w:style w:type="character" w:styleId="a7">
    <w:name w:val="Hyperlink"/>
    <w:basedOn w:val="a0"/>
    <w:uiPriority w:val="99"/>
    <w:rsid w:val="00A27C7F"/>
    <w:rPr>
      <w:rFonts w:cs="Times New Roman"/>
      <w:color w:val="0000FF"/>
      <w:u w:val="single"/>
    </w:rPr>
  </w:style>
  <w:style w:type="paragraph" w:customStyle="1" w:styleId="a8">
    <w:name w:val="Знак"/>
    <w:basedOn w:val="a"/>
    <w:uiPriority w:val="99"/>
    <w:rsid w:val="00A27C7F"/>
    <w:pPr>
      <w:spacing w:after="160" w:line="240" w:lineRule="exact"/>
    </w:pPr>
    <w:rPr>
      <w:rFonts w:ascii="Verdana" w:hAnsi="Verdana" w:cs="Verdana"/>
      <w:sz w:val="20"/>
      <w:szCs w:val="20"/>
      <w:lang w:val="en-US" w:eastAsia="en-US"/>
    </w:rPr>
  </w:style>
  <w:style w:type="character" w:styleId="a9">
    <w:name w:val="annotation reference"/>
    <w:basedOn w:val="a0"/>
    <w:uiPriority w:val="99"/>
    <w:semiHidden/>
    <w:unhideWhenUsed/>
    <w:rsid w:val="005921CC"/>
    <w:rPr>
      <w:rFonts w:cs="Times New Roman"/>
      <w:sz w:val="16"/>
      <w:szCs w:val="16"/>
    </w:rPr>
  </w:style>
  <w:style w:type="paragraph" w:styleId="aa">
    <w:name w:val="annotation text"/>
    <w:basedOn w:val="a"/>
    <w:link w:val="ab"/>
    <w:uiPriority w:val="99"/>
    <w:semiHidden/>
    <w:unhideWhenUsed/>
    <w:rsid w:val="005921CC"/>
    <w:rPr>
      <w:sz w:val="20"/>
      <w:szCs w:val="20"/>
    </w:rPr>
  </w:style>
  <w:style w:type="character" w:customStyle="1" w:styleId="ab">
    <w:name w:val="Текст примечания Знак"/>
    <w:basedOn w:val="a0"/>
    <w:link w:val="aa"/>
    <w:uiPriority w:val="99"/>
    <w:semiHidden/>
    <w:locked/>
    <w:rsid w:val="005921CC"/>
    <w:rPr>
      <w:rFonts w:ascii="Times New Roman" w:hAnsi="Times New Roman" w:cs="Times New Roman"/>
      <w:sz w:val="20"/>
      <w:szCs w:val="20"/>
      <w:lang w:eastAsia="ru-RU"/>
    </w:rPr>
  </w:style>
  <w:style w:type="paragraph" w:styleId="ac">
    <w:name w:val="annotation subject"/>
    <w:basedOn w:val="aa"/>
    <w:next w:val="aa"/>
    <w:link w:val="ad"/>
    <w:uiPriority w:val="99"/>
    <w:semiHidden/>
    <w:unhideWhenUsed/>
    <w:rsid w:val="005921CC"/>
    <w:rPr>
      <w:b/>
      <w:bCs/>
    </w:rPr>
  </w:style>
  <w:style w:type="character" w:customStyle="1" w:styleId="ad">
    <w:name w:val="Тема примечания Знак"/>
    <w:basedOn w:val="ab"/>
    <w:link w:val="ac"/>
    <w:uiPriority w:val="99"/>
    <w:semiHidden/>
    <w:locked/>
    <w:rsid w:val="005921CC"/>
    <w:rPr>
      <w:b/>
      <w:bCs/>
    </w:rPr>
  </w:style>
  <w:style w:type="paragraph" w:styleId="ae">
    <w:name w:val="Balloon Text"/>
    <w:basedOn w:val="a"/>
    <w:link w:val="af"/>
    <w:uiPriority w:val="99"/>
    <w:semiHidden/>
    <w:unhideWhenUsed/>
    <w:rsid w:val="005921CC"/>
    <w:rPr>
      <w:rFonts w:ascii="Tahoma" w:hAnsi="Tahoma" w:cs="Tahoma"/>
      <w:sz w:val="16"/>
      <w:szCs w:val="16"/>
    </w:rPr>
  </w:style>
  <w:style w:type="character" w:customStyle="1" w:styleId="af">
    <w:name w:val="Текст выноски Знак"/>
    <w:basedOn w:val="a0"/>
    <w:link w:val="ae"/>
    <w:uiPriority w:val="99"/>
    <w:semiHidden/>
    <w:locked/>
    <w:rsid w:val="005921CC"/>
    <w:rPr>
      <w:rFonts w:ascii="Tahoma" w:hAnsi="Tahoma" w:cs="Tahoma"/>
      <w:sz w:val="16"/>
      <w:szCs w:val="16"/>
      <w:lang w:eastAsia="ru-RU"/>
    </w:rPr>
  </w:style>
  <w:style w:type="paragraph" w:customStyle="1" w:styleId="ConsPlusNormal">
    <w:name w:val="ConsPlusNormal"/>
    <w:uiPriority w:val="99"/>
    <w:rsid w:val="005921CC"/>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2">
    <w:name w:val="Body Text 2"/>
    <w:basedOn w:val="a"/>
    <w:link w:val="20"/>
    <w:uiPriority w:val="99"/>
    <w:rsid w:val="0002385C"/>
    <w:pPr>
      <w:jc w:val="both"/>
    </w:pPr>
    <w:rPr>
      <w:sz w:val="20"/>
      <w:szCs w:val="20"/>
      <w:lang w:val="en-AU" w:eastAsia="en-US"/>
    </w:rPr>
  </w:style>
  <w:style w:type="character" w:customStyle="1" w:styleId="20">
    <w:name w:val="Основной текст 2 Знак"/>
    <w:basedOn w:val="a0"/>
    <w:link w:val="2"/>
    <w:uiPriority w:val="99"/>
    <w:locked/>
    <w:rsid w:val="0002385C"/>
    <w:rPr>
      <w:rFonts w:ascii="Times New Roman" w:hAnsi="Times New Roman" w:cs="Times New Roman"/>
      <w:sz w:val="20"/>
      <w:szCs w:val="20"/>
      <w:lang w:val="en-AU"/>
    </w:rPr>
  </w:style>
  <w:style w:type="paragraph" w:customStyle="1" w:styleId="af0">
    <w:name w:val="Таблицы (моноширинный)"/>
    <w:basedOn w:val="a"/>
    <w:next w:val="a"/>
    <w:rsid w:val="00FC3E53"/>
    <w:pPr>
      <w:widowControl w:val="0"/>
      <w:autoSpaceDE w:val="0"/>
      <w:autoSpaceDN w:val="0"/>
      <w:adjustRightInd w:val="0"/>
      <w:jc w:val="both"/>
    </w:pPr>
    <w:rPr>
      <w:rFonts w:ascii="Courier New" w:hAnsi="Courier New" w:cs="Courier New"/>
      <w:sz w:val="20"/>
      <w:szCs w:val="20"/>
    </w:rPr>
  </w:style>
  <w:style w:type="paragraph" w:customStyle="1" w:styleId="CharChar">
    <w:name w:val="Char Char"/>
    <w:basedOn w:val="a"/>
    <w:uiPriority w:val="99"/>
    <w:rsid w:val="00FC3E53"/>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004_вступают в силу с 13.01.15</Статус_x0020_документа>
    <_EndDate xmlns="http://schemas.microsoft.com/sharepoint/v3/fields">2014-11-23T20:00:00+00:00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5D02B5-63B4-4E17-8351-BE24C53EEB24}">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22005575-4B03-4FF7-8B2E-713ADE21D608}">
  <ds:schemaRefs>
    <ds:schemaRef ds:uri="http://schemas.microsoft.com/sharepoint/v3/contenttype/forms"/>
  </ds:schemaRefs>
</ds:datastoreItem>
</file>

<file path=customXml/itemProps3.xml><?xml version="1.0" encoding="utf-8"?>
<ds:datastoreItem xmlns:ds="http://schemas.openxmlformats.org/officeDocument/2006/customXml" ds:itemID="{05185B31-D402-4347-A28A-81AEA4AD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5786</Characters>
  <Application>Microsoft Office Word</Application>
  <DocSecurity>0</DocSecurity>
  <Lines>48</Lines>
  <Paragraphs>13</Paragraphs>
  <ScaleCrop>false</ScaleCrop>
  <Company>*</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kulkova</cp:lastModifiedBy>
  <cp:revision>2</cp:revision>
  <cp:lastPrinted>2012-12-28T10:42:00Z</cp:lastPrinted>
  <dcterms:created xsi:type="dcterms:W3CDTF">2014-12-11T10:18:00Z</dcterms:created>
  <dcterms:modified xsi:type="dcterms:W3CDTF">2014-12-11T10:18:00Z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