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F1" w:rsidRPr="00B840AD" w:rsidRDefault="00A176A6" w:rsidP="00837C7E">
      <w:pPr>
        <w:spacing w:after="0" w:line="240" w:lineRule="auto"/>
        <w:ind w:left="4820" w:right="-285" w:hanging="142"/>
        <w:rPr>
          <w:rFonts w:ascii="Times New Roman" w:hAnsi="Times New Roman"/>
          <w:bCs/>
          <w:sz w:val="24"/>
          <w:szCs w:val="24"/>
        </w:rPr>
      </w:pPr>
      <w:r w:rsidRPr="00B840AD">
        <w:rPr>
          <w:rFonts w:ascii="Times New Roman" w:hAnsi="Times New Roman"/>
          <w:bCs/>
          <w:sz w:val="24"/>
          <w:szCs w:val="24"/>
        </w:rPr>
        <w:t>УТВЕРЖДЕНО</w:t>
      </w:r>
    </w:p>
    <w:p w:rsidR="00B278B6" w:rsidRPr="00B840AD" w:rsidRDefault="00B278B6" w:rsidP="00837C7E">
      <w:pPr>
        <w:spacing w:after="0" w:line="240" w:lineRule="auto"/>
        <w:ind w:left="4678" w:right="-285" w:hanging="142"/>
        <w:rPr>
          <w:rFonts w:ascii="Times New Roman" w:hAnsi="Times New Roman"/>
          <w:bCs/>
          <w:sz w:val="24"/>
          <w:szCs w:val="24"/>
        </w:rPr>
      </w:pPr>
    </w:p>
    <w:p w:rsidR="00F972E6" w:rsidRPr="00B840AD" w:rsidRDefault="00A176A6" w:rsidP="00837C7E">
      <w:pPr>
        <w:spacing w:after="0" w:line="240" w:lineRule="auto"/>
        <w:ind w:left="4820" w:right="-285" w:hanging="142"/>
        <w:rPr>
          <w:rFonts w:ascii="Times New Roman" w:hAnsi="Times New Roman"/>
          <w:bCs/>
          <w:sz w:val="24"/>
          <w:szCs w:val="24"/>
        </w:rPr>
      </w:pPr>
      <w:r w:rsidRPr="00B840AD">
        <w:rPr>
          <w:rFonts w:ascii="Times New Roman" w:hAnsi="Times New Roman"/>
          <w:bCs/>
          <w:sz w:val="24"/>
          <w:szCs w:val="24"/>
        </w:rPr>
        <w:t>Приказом Генерального директора</w:t>
      </w:r>
      <w:r w:rsidR="00F972E6" w:rsidRPr="00B840AD">
        <w:rPr>
          <w:rFonts w:ascii="Times New Roman" w:hAnsi="Times New Roman"/>
          <w:bCs/>
          <w:sz w:val="24"/>
          <w:szCs w:val="24"/>
        </w:rPr>
        <w:t xml:space="preserve"> </w:t>
      </w:r>
    </w:p>
    <w:p w:rsidR="00A176A6" w:rsidRPr="00B840AD" w:rsidRDefault="00A176A6" w:rsidP="00837C7E">
      <w:pPr>
        <w:spacing w:after="0" w:line="240" w:lineRule="auto"/>
        <w:ind w:left="4820" w:right="-285" w:hanging="142"/>
        <w:rPr>
          <w:rFonts w:ascii="Times New Roman" w:hAnsi="Times New Roman"/>
          <w:bCs/>
          <w:sz w:val="24"/>
          <w:szCs w:val="24"/>
        </w:rPr>
      </w:pPr>
      <w:r w:rsidRPr="00B840AD">
        <w:rPr>
          <w:rFonts w:ascii="Times New Roman" w:hAnsi="Times New Roman"/>
          <w:bCs/>
          <w:sz w:val="24"/>
          <w:szCs w:val="24"/>
        </w:rPr>
        <w:t>ООО «ПЕРАМО</w:t>
      </w:r>
      <w:r w:rsidR="007C4463" w:rsidRPr="00B840AD">
        <w:rPr>
          <w:rFonts w:ascii="Times New Roman" w:hAnsi="Times New Roman"/>
          <w:bCs/>
          <w:sz w:val="24"/>
          <w:szCs w:val="24"/>
        </w:rPr>
        <w:t xml:space="preserve"> ИНВЕСТ</w:t>
      </w:r>
      <w:r w:rsidRPr="00B840AD">
        <w:rPr>
          <w:rFonts w:ascii="Times New Roman" w:hAnsi="Times New Roman"/>
          <w:bCs/>
          <w:sz w:val="24"/>
          <w:szCs w:val="24"/>
        </w:rPr>
        <w:t>»</w:t>
      </w:r>
      <w:r w:rsidR="00F972E6" w:rsidRPr="00B840AD">
        <w:rPr>
          <w:rFonts w:ascii="Times New Roman" w:hAnsi="Times New Roman"/>
          <w:bCs/>
          <w:sz w:val="24"/>
          <w:szCs w:val="24"/>
        </w:rPr>
        <w:t xml:space="preserve"> </w:t>
      </w:r>
      <w:r w:rsidR="00711346" w:rsidRPr="00B840AD">
        <w:rPr>
          <w:rFonts w:ascii="Times New Roman" w:hAnsi="Times New Roman"/>
          <w:bCs/>
          <w:sz w:val="24"/>
          <w:szCs w:val="24"/>
        </w:rPr>
        <w:t xml:space="preserve">№ </w:t>
      </w:r>
      <w:r w:rsidR="000350CC" w:rsidRPr="00B840AD">
        <w:rPr>
          <w:rFonts w:ascii="Times New Roman" w:hAnsi="Times New Roman"/>
          <w:bCs/>
          <w:sz w:val="24"/>
          <w:szCs w:val="24"/>
        </w:rPr>
        <w:t>1</w:t>
      </w:r>
      <w:r w:rsidR="005A42A2" w:rsidRPr="00B840AD">
        <w:rPr>
          <w:rFonts w:ascii="Times New Roman" w:hAnsi="Times New Roman"/>
          <w:bCs/>
          <w:sz w:val="24"/>
          <w:szCs w:val="24"/>
        </w:rPr>
        <w:t>/</w:t>
      </w:r>
      <w:r w:rsidR="000350CC" w:rsidRPr="00B840AD">
        <w:rPr>
          <w:rFonts w:ascii="Times New Roman" w:hAnsi="Times New Roman"/>
          <w:bCs/>
          <w:sz w:val="24"/>
          <w:szCs w:val="24"/>
        </w:rPr>
        <w:t>2</w:t>
      </w:r>
      <w:r w:rsidR="003F7D6C">
        <w:rPr>
          <w:rFonts w:ascii="Times New Roman" w:hAnsi="Times New Roman"/>
          <w:bCs/>
          <w:sz w:val="24"/>
          <w:szCs w:val="24"/>
        </w:rPr>
        <w:t>9</w:t>
      </w:r>
      <w:r w:rsidR="00B840AD" w:rsidRPr="00B840AD">
        <w:rPr>
          <w:rFonts w:ascii="Times New Roman" w:hAnsi="Times New Roman"/>
          <w:bCs/>
          <w:sz w:val="24"/>
          <w:szCs w:val="24"/>
        </w:rPr>
        <w:t>10</w:t>
      </w:r>
      <w:r w:rsidR="005A42A2" w:rsidRPr="00B840AD">
        <w:rPr>
          <w:rFonts w:ascii="Times New Roman" w:hAnsi="Times New Roman"/>
          <w:bCs/>
          <w:sz w:val="24"/>
          <w:szCs w:val="24"/>
        </w:rPr>
        <w:t>19</w:t>
      </w:r>
      <w:r w:rsidRPr="00B840AD">
        <w:rPr>
          <w:rFonts w:ascii="Times New Roman" w:hAnsi="Times New Roman"/>
          <w:bCs/>
          <w:sz w:val="24"/>
          <w:szCs w:val="24"/>
        </w:rPr>
        <w:t xml:space="preserve"> от </w:t>
      </w:r>
      <w:r w:rsidR="000350CC" w:rsidRPr="00B840AD">
        <w:rPr>
          <w:rFonts w:ascii="Times New Roman" w:hAnsi="Times New Roman"/>
          <w:bCs/>
          <w:sz w:val="24"/>
          <w:szCs w:val="24"/>
        </w:rPr>
        <w:t>2</w:t>
      </w:r>
      <w:r w:rsidR="003F7D6C">
        <w:rPr>
          <w:rFonts w:ascii="Times New Roman" w:hAnsi="Times New Roman"/>
          <w:bCs/>
          <w:sz w:val="24"/>
          <w:szCs w:val="24"/>
        </w:rPr>
        <w:t>9</w:t>
      </w:r>
      <w:r w:rsidR="00B840AD" w:rsidRPr="00B840AD">
        <w:rPr>
          <w:rFonts w:ascii="Times New Roman" w:hAnsi="Times New Roman"/>
          <w:bCs/>
          <w:sz w:val="24"/>
          <w:szCs w:val="24"/>
        </w:rPr>
        <w:t>.10.</w:t>
      </w:r>
      <w:r w:rsidR="00790E6F" w:rsidRPr="00B840AD">
        <w:rPr>
          <w:rFonts w:ascii="Times New Roman" w:hAnsi="Times New Roman"/>
          <w:bCs/>
          <w:sz w:val="24"/>
          <w:szCs w:val="24"/>
        </w:rPr>
        <w:t>201</w:t>
      </w:r>
      <w:r w:rsidR="005A42A2" w:rsidRPr="00B840AD">
        <w:rPr>
          <w:rFonts w:ascii="Times New Roman" w:hAnsi="Times New Roman"/>
          <w:bCs/>
          <w:sz w:val="24"/>
          <w:szCs w:val="24"/>
        </w:rPr>
        <w:t>9</w:t>
      </w:r>
      <w:r w:rsidRPr="00B840AD">
        <w:rPr>
          <w:rFonts w:ascii="Times New Roman" w:hAnsi="Times New Roman"/>
          <w:bCs/>
          <w:sz w:val="24"/>
          <w:szCs w:val="24"/>
        </w:rPr>
        <w:t xml:space="preserve"> г.</w:t>
      </w:r>
    </w:p>
    <w:p w:rsidR="00B278B6" w:rsidRPr="00B840AD" w:rsidRDefault="00B278B6" w:rsidP="00F972E6">
      <w:pPr>
        <w:spacing w:after="0" w:line="240" w:lineRule="auto"/>
        <w:ind w:left="5103"/>
        <w:rPr>
          <w:rFonts w:ascii="Times New Roman" w:hAnsi="Times New Roman"/>
          <w:bCs/>
          <w:sz w:val="24"/>
          <w:szCs w:val="24"/>
        </w:rPr>
      </w:pPr>
    </w:p>
    <w:p w:rsidR="00A5149C" w:rsidRPr="00B840AD" w:rsidRDefault="00A5149C" w:rsidP="000F036C">
      <w:pPr>
        <w:spacing w:after="0" w:line="360" w:lineRule="auto"/>
        <w:jc w:val="center"/>
        <w:rPr>
          <w:rFonts w:ascii="Times New Roman" w:hAnsi="Times New Roman"/>
          <w:bCs/>
          <w:sz w:val="24"/>
          <w:szCs w:val="24"/>
        </w:rPr>
      </w:pPr>
      <w:r w:rsidRPr="00B840AD">
        <w:rPr>
          <w:rFonts w:ascii="Times New Roman" w:hAnsi="Times New Roman"/>
          <w:bCs/>
          <w:sz w:val="24"/>
          <w:szCs w:val="24"/>
        </w:rPr>
        <w:t xml:space="preserve">ИЗМЕНЕНИЯ И ДОПОЛНЕНИЯ № </w:t>
      </w:r>
      <w:r w:rsidR="005A42A2" w:rsidRPr="00B840AD">
        <w:rPr>
          <w:rFonts w:ascii="Times New Roman" w:hAnsi="Times New Roman"/>
          <w:bCs/>
          <w:sz w:val="24"/>
          <w:szCs w:val="24"/>
        </w:rPr>
        <w:t>1</w:t>
      </w:r>
      <w:r w:rsidR="00B840AD" w:rsidRPr="00B840AD">
        <w:rPr>
          <w:rFonts w:ascii="Times New Roman" w:hAnsi="Times New Roman"/>
          <w:bCs/>
          <w:sz w:val="24"/>
          <w:szCs w:val="24"/>
        </w:rPr>
        <w:t>2</w:t>
      </w:r>
    </w:p>
    <w:p w:rsidR="00E30129" w:rsidRPr="00B840AD" w:rsidRDefault="00A5149C" w:rsidP="000F036C">
      <w:pPr>
        <w:spacing w:after="0" w:line="360" w:lineRule="auto"/>
        <w:jc w:val="center"/>
        <w:rPr>
          <w:rFonts w:ascii="Times New Roman" w:hAnsi="Times New Roman"/>
          <w:bCs/>
          <w:sz w:val="24"/>
          <w:szCs w:val="24"/>
        </w:rPr>
      </w:pPr>
      <w:r w:rsidRPr="00B840AD">
        <w:rPr>
          <w:rFonts w:ascii="Times New Roman" w:hAnsi="Times New Roman"/>
          <w:bCs/>
          <w:sz w:val="24"/>
          <w:szCs w:val="24"/>
        </w:rPr>
        <w:t xml:space="preserve">В Правила доверительного управления </w:t>
      </w:r>
      <w:r w:rsidR="00A31E35" w:rsidRPr="00B840AD">
        <w:rPr>
          <w:rFonts w:ascii="Times New Roman" w:hAnsi="Times New Roman"/>
          <w:bCs/>
          <w:sz w:val="24"/>
          <w:szCs w:val="24"/>
        </w:rPr>
        <w:t>Интервальным</w:t>
      </w:r>
      <w:r w:rsidRPr="00B840AD">
        <w:rPr>
          <w:rFonts w:ascii="Times New Roman" w:hAnsi="Times New Roman"/>
          <w:bCs/>
          <w:sz w:val="24"/>
          <w:szCs w:val="24"/>
        </w:rPr>
        <w:t xml:space="preserve"> паевым инвестиционным фондом </w:t>
      </w:r>
      <w:r w:rsidR="00790E6F" w:rsidRPr="00B840AD">
        <w:rPr>
          <w:rFonts w:ascii="Times New Roman" w:hAnsi="Times New Roman"/>
          <w:bCs/>
          <w:sz w:val="24"/>
          <w:szCs w:val="24"/>
        </w:rPr>
        <w:t>рыночных финансовых инструментов</w:t>
      </w:r>
      <w:r w:rsidR="000F036C" w:rsidRPr="00B840AD">
        <w:rPr>
          <w:rFonts w:ascii="Times New Roman" w:hAnsi="Times New Roman"/>
          <w:bCs/>
          <w:sz w:val="24"/>
          <w:szCs w:val="24"/>
        </w:rPr>
        <w:t xml:space="preserve"> </w:t>
      </w:r>
      <w:r w:rsidRPr="00B840AD">
        <w:rPr>
          <w:rFonts w:ascii="Times New Roman" w:hAnsi="Times New Roman"/>
          <w:bCs/>
          <w:sz w:val="24"/>
          <w:szCs w:val="24"/>
        </w:rPr>
        <w:t>«</w:t>
      </w:r>
      <w:proofErr w:type="spellStart"/>
      <w:r w:rsidR="00A31E35" w:rsidRPr="00B840AD">
        <w:rPr>
          <w:rFonts w:ascii="Times New Roman" w:hAnsi="Times New Roman"/>
          <w:bCs/>
          <w:sz w:val="24"/>
          <w:szCs w:val="24"/>
        </w:rPr>
        <w:t>КОНСЕРВАТОРия</w:t>
      </w:r>
      <w:proofErr w:type="spellEnd"/>
      <w:r w:rsidRPr="00B840AD">
        <w:rPr>
          <w:rFonts w:ascii="Times New Roman" w:hAnsi="Times New Roman"/>
          <w:bCs/>
          <w:sz w:val="24"/>
          <w:szCs w:val="24"/>
        </w:rPr>
        <w:t xml:space="preserve">» </w:t>
      </w:r>
    </w:p>
    <w:p w:rsidR="00A5149C" w:rsidRPr="00B840AD" w:rsidRDefault="00A5149C" w:rsidP="000F036C">
      <w:pPr>
        <w:spacing w:after="0" w:line="360" w:lineRule="auto"/>
        <w:jc w:val="center"/>
        <w:rPr>
          <w:rFonts w:ascii="Times New Roman" w:hAnsi="Times New Roman"/>
          <w:bCs/>
          <w:sz w:val="24"/>
          <w:szCs w:val="24"/>
        </w:rPr>
      </w:pPr>
      <w:r w:rsidRPr="00B840AD">
        <w:rPr>
          <w:rFonts w:ascii="Times New Roman" w:hAnsi="Times New Roman"/>
          <w:bCs/>
          <w:sz w:val="24"/>
          <w:szCs w:val="24"/>
        </w:rPr>
        <w:t>(Правила зарегистрированы ФСФР России за № 2006-94172747 от 09.12.2010 г.)</w:t>
      </w:r>
    </w:p>
    <w:p w:rsidR="00414B68" w:rsidRPr="00B840AD" w:rsidRDefault="00414B68" w:rsidP="000F036C">
      <w:pPr>
        <w:ind w:firstLine="567"/>
        <w:jc w:val="both"/>
        <w:rPr>
          <w:rFonts w:ascii="Times New Roman" w:hAnsi="Times New Roman"/>
        </w:rPr>
      </w:pPr>
    </w:p>
    <w:p w:rsidR="00A5149C" w:rsidRPr="00B840AD" w:rsidRDefault="00A5149C" w:rsidP="000F036C">
      <w:pPr>
        <w:ind w:firstLine="567"/>
        <w:jc w:val="both"/>
        <w:rPr>
          <w:rFonts w:ascii="Times New Roman" w:hAnsi="Times New Roman"/>
        </w:rPr>
      </w:pPr>
      <w:r w:rsidRPr="00B840AD">
        <w:rPr>
          <w:rFonts w:ascii="Times New Roman" w:hAnsi="Times New Roman"/>
        </w:rPr>
        <w:t xml:space="preserve">Внести в Правила доверительного управления </w:t>
      </w:r>
      <w:r w:rsidR="00A31E35" w:rsidRPr="00B840AD">
        <w:rPr>
          <w:rFonts w:ascii="Times New Roman" w:hAnsi="Times New Roman"/>
        </w:rPr>
        <w:t>Интервальным</w:t>
      </w:r>
      <w:r w:rsidRPr="00B840AD">
        <w:rPr>
          <w:rFonts w:ascii="Times New Roman" w:hAnsi="Times New Roman"/>
        </w:rPr>
        <w:t xml:space="preserve"> паевым инвестиционным фондом </w:t>
      </w:r>
      <w:r w:rsidR="00790E6F" w:rsidRPr="00B840AD">
        <w:rPr>
          <w:rFonts w:ascii="Times New Roman" w:hAnsi="Times New Roman"/>
        </w:rPr>
        <w:t xml:space="preserve">рыночных финансовых инструментов </w:t>
      </w:r>
      <w:r w:rsidRPr="00B840AD">
        <w:rPr>
          <w:rFonts w:ascii="Times New Roman" w:hAnsi="Times New Roman"/>
        </w:rPr>
        <w:t>«</w:t>
      </w:r>
      <w:proofErr w:type="spellStart"/>
      <w:r w:rsidR="00A31E35" w:rsidRPr="00B840AD">
        <w:rPr>
          <w:rFonts w:ascii="Times New Roman" w:hAnsi="Times New Roman"/>
        </w:rPr>
        <w:t>КОНСЕРВАТОРия</w:t>
      </w:r>
      <w:proofErr w:type="spellEnd"/>
      <w:r w:rsidRPr="00B840AD">
        <w:rPr>
          <w:rFonts w:ascii="Times New Roman" w:hAnsi="Times New Roman"/>
        </w:rPr>
        <w:t>» (далее – Правила Фонда) следующие изменения и дополнения:</w:t>
      </w:r>
    </w:p>
    <w:p w:rsidR="00F774AB" w:rsidRPr="00B840AD" w:rsidRDefault="00F774AB"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п. </w:t>
      </w:r>
      <w:r w:rsidR="00B840AD" w:rsidRPr="00B840AD">
        <w:rPr>
          <w:rFonts w:ascii="Times New Roman" w:hAnsi="Times New Roman"/>
        </w:rPr>
        <w:t>13</w:t>
      </w:r>
      <w:r w:rsidRPr="00B840AD">
        <w:rPr>
          <w:rFonts w:ascii="Times New Roman" w:hAnsi="Times New Roman"/>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F774AB" w:rsidRPr="00B840AD" w:rsidTr="00D1418C">
        <w:trPr>
          <w:jc w:val="center"/>
        </w:trPr>
        <w:tc>
          <w:tcPr>
            <w:tcW w:w="4991" w:type="dxa"/>
          </w:tcPr>
          <w:p w:rsidR="00F774AB" w:rsidRPr="00B840AD" w:rsidRDefault="00F774AB"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F774AB" w:rsidRPr="00B840AD" w:rsidRDefault="00F774AB"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7C4463" w:rsidRPr="00B840AD" w:rsidTr="00D1418C">
        <w:trPr>
          <w:jc w:val="center"/>
        </w:trPr>
        <w:tc>
          <w:tcPr>
            <w:tcW w:w="4991" w:type="dxa"/>
          </w:tcPr>
          <w:p w:rsidR="00B840AD" w:rsidRPr="00B840AD" w:rsidRDefault="00B840AD" w:rsidP="00FB2707">
            <w:pPr>
              <w:pStyle w:val="ConsPlusNormal"/>
              <w:widowControl/>
              <w:ind w:firstLine="0"/>
              <w:jc w:val="both"/>
              <w:rPr>
                <w:rFonts w:ascii="Times New Roman" w:hAnsi="Times New Roman" w:cs="Times New Roman"/>
                <w:sz w:val="22"/>
                <w:szCs w:val="22"/>
              </w:rPr>
            </w:pPr>
            <w:r w:rsidRPr="00B840AD">
              <w:rPr>
                <w:rFonts w:ascii="Times New Roman" w:hAnsi="Times New Roman" w:cs="Times New Roman"/>
                <w:sz w:val="22"/>
                <w:szCs w:val="22"/>
              </w:rPr>
              <w:t>13. Полное фирменное наименование аудиторской организации Фонда (далее – аудиторская организация): Общество с ограниченной ответственностью «</w:t>
            </w:r>
            <w:proofErr w:type="spellStart"/>
            <w:r w:rsidRPr="00B840AD">
              <w:rPr>
                <w:rFonts w:ascii="Times New Roman" w:hAnsi="Times New Roman" w:cs="Times New Roman"/>
                <w:sz w:val="22"/>
                <w:szCs w:val="22"/>
              </w:rPr>
              <w:t>Аудиторско-консалтинговая</w:t>
            </w:r>
            <w:proofErr w:type="spellEnd"/>
            <w:r w:rsidRPr="00B840AD">
              <w:rPr>
                <w:rFonts w:ascii="Times New Roman" w:hAnsi="Times New Roman" w:cs="Times New Roman"/>
                <w:sz w:val="22"/>
                <w:szCs w:val="22"/>
              </w:rPr>
              <w:t xml:space="preserve"> фирма «</w:t>
            </w:r>
            <w:proofErr w:type="spellStart"/>
            <w:r w:rsidRPr="00B840AD">
              <w:rPr>
                <w:rFonts w:ascii="Times New Roman" w:hAnsi="Times New Roman" w:cs="Times New Roman"/>
                <w:sz w:val="22"/>
                <w:szCs w:val="22"/>
              </w:rPr>
              <w:t>Аудэкс</w:t>
            </w:r>
            <w:proofErr w:type="spellEnd"/>
            <w:r w:rsidRPr="00B840AD">
              <w:rPr>
                <w:rFonts w:ascii="Times New Roman" w:hAnsi="Times New Roman" w:cs="Times New Roman"/>
                <w:sz w:val="22"/>
                <w:szCs w:val="22"/>
              </w:rPr>
              <w:t>».</w:t>
            </w:r>
          </w:p>
          <w:p w:rsidR="007C4463" w:rsidRPr="00B840AD" w:rsidRDefault="007C4463" w:rsidP="00FB2707">
            <w:pPr>
              <w:pStyle w:val="ConsPlusNormal"/>
              <w:widowControl/>
              <w:ind w:firstLine="0"/>
              <w:jc w:val="both"/>
              <w:rPr>
                <w:rFonts w:ascii="Times New Roman" w:hAnsi="Times New Roman" w:cs="Times New Roman"/>
                <w:sz w:val="22"/>
                <w:szCs w:val="22"/>
              </w:rPr>
            </w:pPr>
          </w:p>
        </w:tc>
        <w:tc>
          <w:tcPr>
            <w:tcW w:w="4995" w:type="dxa"/>
          </w:tcPr>
          <w:p w:rsidR="00B840AD" w:rsidRPr="00B840AD" w:rsidRDefault="00B840AD" w:rsidP="00FB2707">
            <w:pPr>
              <w:pStyle w:val="ConsPlusNormal"/>
              <w:widowControl/>
              <w:ind w:firstLine="0"/>
              <w:jc w:val="both"/>
              <w:rPr>
                <w:rFonts w:ascii="Times New Roman" w:hAnsi="Times New Roman" w:cs="Times New Roman"/>
                <w:sz w:val="22"/>
                <w:szCs w:val="22"/>
              </w:rPr>
            </w:pPr>
            <w:r w:rsidRPr="00B840AD">
              <w:rPr>
                <w:rFonts w:ascii="Times New Roman" w:hAnsi="Times New Roman" w:cs="Times New Roman"/>
                <w:sz w:val="22"/>
                <w:szCs w:val="22"/>
              </w:rPr>
              <w:t xml:space="preserve">13. </w:t>
            </w:r>
            <w:r>
              <w:rPr>
                <w:rFonts w:ascii="Times New Roman" w:hAnsi="Times New Roman" w:cs="Times New Roman"/>
                <w:sz w:val="22"/>
                <w:szCs w:val="22"/>
              </w:rPr>
              <w:t>Исключен.</w:t>
            </w:r>
          </w:p>
          <w:p w:rsidR="007C4463" w:rsidRPr="00B840AD" w:rsidRDefault="007C4463" w:rsidP="00FB2707">
            <w:pPr>
              <w:spacing w:after="0" w:line="240" w:lineRule="auto"/>
              <w:jc w:val="both"/>
              <w:rPr>
                <w:rFonts w:ascii="Times New Roman" w:hAnsi="Times New Roman"/>
              </w:rPr>
            </w:pPr>
          </w:p>
        </w:tc>
      </w:tr>
    </w:tbl>
    <w:p w:rsidR="00013A48" w:rsidRPr="00B840AD" w:rsidRDefault="00013A48" w:rsidP="00FB2707">
      <w:pPr>
        <w:spacing w:after="0" w:line="240" w:lineRule="auto"/>
        <w:jc w:val="center"/>
        <w:rPr>
          <w:rFonts w:ascii="Times New Roman" w:hAnsi="Times New Roman"/>
          <w:sz w:val="24"/>
          <w:szCs w:val="24"/>
        </w:rPr>
      </w:pPr>
    </w:p>
    <w:p w:rsidR="00B840AD" w:rsidRPr="00B840AD" w:rsidRDefault="00B840AD"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Изложить п. 14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B840AD" w:rsidRPr="00B840AD" w:rsidRDefault="00B840AD" w:rsidP="00FB2707">
            <w:pPr>
              <w:pStyle w:val="ConsPlusNormal"/>
              <w:widowControl/>
              <w:ind w:firstLine="0"/>
              <w:jc w:val="both"/>
              <w:rPr>
                <w:rFonts w:ascii="Times New Roman" w:hAnsi="Times New Roman" w:cs="Times New Roman"/>
                <w:sz w:val="22"/>
                <w:szCs w:val="22"/>
              </w:rPr>
            </w:pPr>
            <w:r w:rsidRPr="00B840AD">
              <w:rPr>
                <w:rFonts w:ascii="Times New Roman" w:hAnsi="Times New Roman" w:cs="Times New Roman"/>
                <w:sz w:val="22"/>
                <w:szCs w:val="22"/>
              </w:rPr>
              <w:t xml:space="preserve">14. Место нахождения аудиторской организации: 420015, РФ, Республика Татарстан, г. Казань, ул. </w:t>
            </w:r>
            <w:proofErr w:type="spellStart"/>
            <w:r w:rsidRPr="00B840AD">
              <w:rPr>
                <w:rFonts w:ascii="Times New Roman" w:hAnsi="Times New Roman" w:cs="Times New Roman"/>
                <w:sz w:val="22"/>
                <w:szCs w:val="22"/>
              </w:rPr>
              <w:t>Подлужная</w:t>
            </w:r>
            <w:proofErr w:type="spellEnd"/>
            <w:r w:rsidRPr="00B840AD">
              <w:rPr>
                <w:rFonts w:ascii="Times New Roman" w:hAnsi="Times New Roman" w:cs="Times New Roman"/>
                <w:sz w:val="22"/>
                <w:szCs w:val="22"/>
              </w:rPr>
              <w:t xml:space="preserve">, д. 60. </w:t>
            </w:r>
          </w:p>
          <w:p w:rsidR="00B840AD" w:rsidRPr="00B840AD" w:rsidRDefault="00B840AD" w:rsidP="00FB2707">
            <w:pPr>
              <w:spacing w:after="0" w:line="240" w:lineRule="auto"/>
              <w:jc w:val="both"/>
              <w:rPr>
                <w:rFonts w:ascii="Times New Roman" w:hAnsi="Times New Roman"/>
              </w:rPr>
            </w:pPr>
          </w:p>
        </w:tc>
        <w:tc>
          <w:tcPr>
            <w:tcW w:w="4995" w:type="dxa"/>
          </w:tcPr>
          <w:p w:rsidR="00B840AD" w:rsidRPr="00B840AD" w:rsidRDefault="00B840AD" w:rsidP="00FB2707">
            <w:pPr>
              <w:pStyle w:val="ConsPlusNormal"/>
              <w:widowControl/>
              <w:ind w:firstLine="0"/>
              <w:jc w:val="both"/>
              <w:rPr>
                <w:rFonts w:ascii="Times New Roman" w:hAnsi="Times New Roman" w:cs="Times New Roman"/>
                <w:sz w:val="22"/>
                <w:szCs w:val="22"/>
              </w:rPr>
            </w:pPr>
            <w:r w:rsidRPr="00B840AD">
              <w:rPr>
                <w:rFonts w:ascii="Times New Roman" w:hAnsi="Times New Roman" w:cs="Times New Roman"/>
                <w:sz w:val="22"/>
                <w:szCs w:val="22"/>
              </w:rPr>
              <w:t xml:space="preserve">14. </w:t>
            </w:r>
            <w:r>
              <w:rPr>
                <w:rFonts w:ascii="Times New Roman" w:hAnsi="Times New Roman" w:cs="Times New Roman"/>
                <w:sz w:val="22"/>
                <w:szCs w:val="22"/>
              </w:rPr>
              <w:t>Исключен.</w:t>
            </w:r>
          </w:p>
          <w:p w:rsidR="00B840AD" w:rsidRPr="00B840AD" w:rsidRDefault="00B840AD" w:rsidP="00FB2707">
            <w:pPr>
              <w:spacing w:after="0" w:line="240" w:lineRule="auto"/>
              <w:jc w:val="both"/>
              <w:rPr>
                <w:rFonts w:ascii="Times New Roman" w:hAnsi="Times New Roman"/>
              </w:rPr>
            </w:pPr>
          </w:p>
        </w:tc>
      </w:tr>
    </w:tbl>
    <w:p w:rsidR="00B840AD" w:rsidRPr="00B840AD" w:rsidRDefault="00B840AD" w:rsidP="00FB2707">
      <w:pPr>
        <w:spacing w:after="0" w:line="240" w:lineRule="auto"/>
        <w:jc w:val="center"/>
        <w:rPr>
          <w:rFonts w:ascii="Times New Roman" w:hAnsi="Times New Roman"/>
          <w:sz w:val="24"/>
          <w:szCs w:val="24"/>
        </w:rPr>
      </w:pPr>
    </w:p>
    <w:p w:rsidR="00DF718C" w:rsidRPr="00DF718C" w:rsidRDefault="00DF718C" w:rsidP="00DF718C">
      <w:pPr>
        <w:pStyle w:val="aa"/>
        <w:widowControl w:val="0"/>
        <w:numPr>
          <w:ilvl w:val="0"/>
          <w:numId w:val="14"/>
        </w:numPr>
        <w:autoSpaceDE w:val="0"/>
        <w:autoSpaceDN w:val="0"/>
        <w:adjustRightInd w:val="0"/>
        <w:spacing w:after="80"/>
        <w:jc w:val="both"/>
      </w:pPr>
      <w:r w:rsidRPr="00DF718C">
        <w:t>Изложить п. 2</w:t>
      </w:r>
      <w:r>
        <w:t>6</w:t>
      </w:r>
      <w:r w:rsidRPr="00DF718C">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DF718C" w:rsidRPr="009F48F5" w:rsidTr="003378E1">
        <w:trPr>
          <w:jc w:val="center"/>
        </w:trPr>
        <w:tc>
          <w:tcPr>
            <w:tcW w:w="4991" w:type="dxa"/>
          </w:tcPr>
          <w:p w:rsidR="00DF718C" w:rsidRPr="009F48F5" w:rsidRDefault="00DF718C" w:rsidP="003378E1">
            <w:pPr>
              <w:jc w:val="center"/>
              <w:rPr>
                <w:rFonts w:ascii="Times New Roman" w:hAnsi="Times New Roman"/>
              </w:rPr>
            </w:pPr>
            <w:r w:rsidRPr="009F48F5">
              <w:rPr>
                <w:rFonts w:ascii="Times New Roman" w:hAnsi="Times New Roman"/>
              </w:rPr>
              <w:t>СТАРАЯ РЕДАКЦИЯ</w:t>
            </w:r>
          </w:p>
        </w:tc>
        <w:tc>
          <w:tcPr>
            <w:tcW w:w="4995" w:type="dxa"/>
          </w:tcPr>
          <w:p w:rsidR="00DF718C" w:rsidRPr="009F48F5" w:rsidRDefault="00DF718C" w:rsidP="003378E1">
            <w:pPr>
              <w:jc w:val="center"/>
              <w:rPr>
                <w:rFonts w:ascii="Times New Roman" w:hAnsi="Times New Roman"/>
              </w:rPr>
            </w:pPr>
            <w:r w:rsidRPr="009F48F5">
              <w:rPr>
                <w:rFonts w:ascii="Times New Roman" w:hAnsi="Times New Roman"/>
              </w:rPr>
              <w:t>НОВАЯ РЕДАКЦИЯ</w:t>
            </w:r>
          </w:p>
        </w:tc>
      </w:tr>
      <w:tr w:rsidR="00DF718C" w:rsidRPr="00C0198D" w:rsidTr="003378E1">
        <w:trPr>
          <w:jc w:val="center"/>
        </w:trPr>
        <w:tc>
          <w:tcPr>
            <w:tcW w:w="4991" w:type="dxa"/>
          </w:tcPr>
          <w:p w:rsidR="00DF718C" w:rsidRPr="00DF718C" w:rsidRDefault="00DF718C" w:rsidP="00DF718C">
            <w:pPr>
              <w:tabs>
                <w:tab w:val="left" w:pos="206"/>
              </w:tabs>
              <w:spacing w:after="0" w:line="240" w:lineRule="auto"/>
              <w:contextualSpacing/>
              <w:jc w:val="both"/>
              <w:rPr>
                <w:rFonts w:ascii="Times New Roman" w:hAnsi="Times New Roman"/>
              </w:rPr>
            </w:pPr>
            <w:r w:rsidRPr="00DF718C">
              <w:rPr>
                <w:rFonts w:ascii="Times New Roman" w:hAnsi="Times New Roman"/>
              </w:rPr>
              <w:t>26. Описание рисков, связанных с инвестированием.</w:t>
            </w:r>
          </w:p>
          <w:p w:rsidR="00DF718C" w:rsidRDefault="00DF718C" w:rsidP="00DF718C">
            <w:pPr>
              <w:widowControl w:val="0"/>
              <w:tabs>
                <w:tab w:val="left" w:pos="206"/>
                <w:tab w:val="left" w:pos="900"/>
                <w:tab w:val="left" w:pos="960"/>
              </w:tabs>
              <w:autoSpaceDE w:val="0"/>
              <w:autoSpaceDN w:val="0"/>
              <w:adjustRightInd w:val="0"/>
              <w:spacing w:after="0" w:line="240" w:lineRule="auto"/>
              <w:contextualSpacing/>
              <w:jc w:val="both"/>
              <w:rPr>
                <w:rFonts w:ascii="Times New Roman" w:hAnsi="Times New Roman"/>
              </w:rPr>
            </w:pPr>
            <w:r w:rsidRPr="00DF718C">
              <w:rPr>
                <w:rFonts w:ascii="Times New Roman" w:hAnsi="Times New Roman"/>
              </w:rPr>
              <w:t xml:space="preserve">Инвестирование в </w:t>
            </w:r>
            <w:r w:rsidRPr="00DF718C">
              <w:rPr>
                <w:rFonts w:ascii="Times New Roman" w:hAnsi="Times New Roman"/>
                <w:b/>
              </w:rPr>
              <w:t>ценные бумаги</w:t>
            </w:r>
            <w:r w:rsidRPr="00DF718C">
              <w:rPr>
                <w:rFonts w:ascii="Times New Roman" w:hAnsi="Times New Roman"/>
              </w:rPr>
              <w:t xml:space="preserve"> связано с </w:t>
            </w:r>
            <w:r w:rsidRPr="00DF718C">
              <w:rPr>
                <w:rFonts w:ascii="Times New Roman" w:hAnsi="Times New Roman"/>
                <w:b/>
              </w:rPr>
              <w:t>высокой</w:t>
            </w:r>
            <w:r w:rsidRPr="00DF718C">
              <w:rPr>
                <w:rFonts w:ascii="Times New Roman" w:hAnsi="Times New Roman"/>
              </w:rPr>
              <w:t xml:space="preserve"> степенью рисков, и не подразумевает гарантий, как по возврату основной инвестированной суммы, так и по получению каких-либо доходов.</w:t>
            </w:r>
          </w:p>
          <w:p w:rsidR="00DF718C" w:rsidRPr="00DF718C" w:rsidRDefault="00DF718C" w:rsidP="00DF718C">
            <w:pPr>
              <w:widowControl w:val="0"/>
              <w:tabs>
                <w:tab w:val="left" w:pos="206"/>
                <w:tab w:val="left" w:pos="900"/>
                <w:tab w:val="left" w:pos="960"/>
              </w:tabs>
              <w:autoSpaceDE w:val="0"/>
              <w:autoSpaceDN w:val="0"/>
              <w:adjustRightInd w:val="0"/>
              <w:spacing w:after="0" w:line="240" w:lineRule="auto"/>
              <w:contextualSpacing/>
              <w:jc w:val="both"/>
              <w:rPr>
                <w:rFonts w:ascii="Times New Roman" w:hAnsi="Times New Roman"/>
              </w:rPr>
            </w:pPr>
            <w:r w:rsidRPr="00DF718C">
              <w:rPr>
                <w:rFonts w:ascii="Times New Roman" w:hAnsi="Times New Roman"/>
              </w:rPr>
              <w:t xml:space="preserve">Стоимость объектов </w:t>
            </w:r>
            <w:r w:rsidRPr="00DF718C">
              <w:rPr>
                <w:rFonts w:ascii="Times New Roman" w:hAnsi="Times New Roman"/>
                <w:b/>
              </w:rPr>
              <w:t>вложения средств</w:t>
            </w:r>
            <w:r w:rsidRPr="00DF718C">
              <w:rPr>
                <w:rFonts w:ascii="Times New Roman" w:hAnsi="Times New Roman"/>
              </w:rPr>
              <w:t xml:space="preserve"> и соответственно расчетная стоимость инвестиционного пая Фонда могут </w:t>
            </w:r>
            <w:proofErr w:type="gramStart"/>
            <w:r w:rsidRPr="00DF718C">
              <w:rPr>
                <w:rFonts w:ascii="Times New Roman" w:hAnsi="Times New Roman"/>
              </w:rPr>
              <w:t>увеличиваться и уменьшаться</w:t>
            </w:r>
            <w:proofErr w:type="gramEnd"/>
            <w:r w:rsidRPr="00DF718C">
              <w:rPr>
                <w:rFonts w:ascii="Times New Roman" w:hAnsi="Times New Roman"/>
              </w:rPr>
              <w:t>,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DF718C" w:rsidRDefault="00DF718C" w:rsidP="00DF718C">
            <w:pPr>
              <w:widowControl w:val="0"/>
              <w:tabs>
                <w:tab w:val="left" w:pos="206"/>
                <w:tab w:val="left" w:pos="900"/>
                <w:tab w:val="left" w:pos="960"/>
              </w:tabs>
              <w:autoSpaceDE w:val="0"/>
              <w:autoSpaceDN w:val="0"/>
              <w:adjustRightInd w:val="0"/>
              <w:spacing w:after="0" w:line="240" w:lineRule="auto"/>
              <w:contextualSpacing/>
              <w:jc w:val="both"/>
              <w:rPr>
                <w:rFonts w:ascii="Times New Roman" w:hAnsi="Times New Roman"/>
              </w:rPr>
            </w:pPr>
          </w:p>
          <w:p w:rsidR="00DF718C" w:rsidRPr="00DF718C" w:rsidRDefault="00DF718C" w:rsidP="00DF718C">
            <w:pPr>
              <w:widowControl w:val="0"/>
              <w:tabs>
                <w:tab w:val="left" w:pos="206"/>
                <w:tab w:val="left" w:pos="900"/>
                <w:tab w:val="left" w:pos="960"/>
              </w:tabs>
              <w:autoSpaceDE w:val="0"/>
              <w:autoSpaceDN w:val="0"/>
              <w:adjustRightInd w:val="0"/>
              <w:spacing w:after="0" w:line="240" w:lineRule="auto"/>
              <w:contextualSpacing/>
              <w:jc w:val="both"/>
              <w:rPr>
                <w:rFonts w:ascii="Times New Roman" w:hAnsi="Times New Roman"/>
              </w:rPr>
            </w:pPr>
            <w:r w:rsidRPr="00DF718C">
              <w:rPr>
                <w:rFonts w:ascii="Times New Roman" w:hAnsi="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DF718C" w:rsidRPr="00DF718C" w:rsidRDefault="00DF718C" w:rsidP="00DF718C">
            <w:pPr>
              <w:widowControl w:val="0"/>
              <w:tabs>
                <w:tab w:val="left" w:pos="206"/>
                <w:tab w:val="left" w:pos="900"/>
                <w:tab w:val="left" w:pos="960"/>
              </w:tabs>
              <w:autoSpaceDE w:val="0"/>
              <w:autoSpaceDN w:val="0"/>
              <w:adjustRightInd w:val="0"/>
              <w:spacing w:after="0" w:line="240" w:lineRule="auto"/>
              <w:contextualSpacing/>
              <w:jc w:val="both"/>
              <w:rPr>
                <w:rFonts w:ascii="Times New Roman" w:hAnsi="Times New Roman"/>
              </w:rPr>
            </w:pPr>
            <w:proofErr w:type="gramStart"/>
            <w:r w:rsidRPr="00DF718C">
              <w:rPr>
                <w:rFonts w:ascii="Times New Roman" w:hAnsi="Times New Roman"/>
              </w:rPr>
              <w:t xml:space="preserve">В наиболее общем виде понятие риска связано с возможностью положительного или </w:t>
            </w:r>
            <w:r w:rsidRPr="00DF718C">
              <w:rPr>
                <w:rFonts w:ascii="Times New Roman" w:hAnsi="Times New Roman"/>
              </w:rPr>
              <w:lastRenderedPageBreak/>
              <w:t>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DF718C" w:rsidRPr="00DF718C" w:rsidRDefault="00DF718C" w:rsidP="00DF718C">
            <w:pPr>
              <w:widowControl w:val="0"/>
              <w:tabs>
                <w:tab w:val="left" w:pos="206"/>
                <w:tab w:val="left" w:pos="900"/>
                <w:tab w:val="left" w:pos="960"/>
              </w:tabs>
              <w:autoSpaceDE w:val="0"/>
              <w:autoSpaceDN w:val="0"/>
              <w:adjustRightInd w:val="0"/>
              <w:spacing w:after="0" w:line="240" w:lineRule="auto"/>
              <w:contextualSpacing/>
              <w:jc w:val="both"/>
              <w:rPr>
                <w:rFonts w:ascii="Times New Roman" w:hAnsi="Times New Roman"/>
              </w:rPr>
            </w:pPr>
            <w:r w:rsidRPr="00DF718C">
              <w:rPr>
                <w:rFonts w:ascii="Times New Roman" w:hAnsi="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41CD1" w:rsidRDefault="00DF718C" w:rsidP="00DF718C">
            <w:pPr>
              <w:widowControl w:val="0"/>
              <w:tabs>
                <w:tab w:val="left" w:pos="206"/>
                <w:tab w:val="left" w:pos="900"/>
                <w:tab w:val="left" w:pos="960"/>
              </w:tabs>
              <w:autoSpaceDE w:val="0"/>
              <w:autoSpaceDN w:val="0"/>
              <w:adjustRightInd w:val="0"/>
              <w:spacing w:after="0" w:line="240" w:lineRule="auto"/>
              <w:contextualSpacing/>
              <w:jc w:val="both"/>
              <w:rPr>
                <w:rFonts w:ascii="Times New Roman" w:hAnsi="Times New Roman"/>
              </w:rPr>
            </w:pPr>
            <w:r w:rsidRPr="00DF718C">
              <w:rPr>
                <w:rFonts w:ascii="Times New Roman" w:hAnsi="Times New Roman"/>
              </w:rPr>
              <w:t xml:space="preserve">Инвестор неизбежно сталкивается с необходимостью учитывать факторы риска самого различного свойства. </w:t>
            </w:r>
          </w:p>
          <w:p w:rsidR="00DF718C" w:rsidRPr="00741CD1" w:rsidRDefault="00DF718C" w:rsidP="00DF718C">
            <w:pPr>
              <w:widowControl w:val="0"/>
              <w:tabs>
                <w:tab w:val="left" w:pos="206"/>
                <w:tab w:val="left" w:pos="900"/>
                <w:tab w:val="left" w:pos="960"/>
              </w:tabs>
              <w:autoSpaceDE w:val="0"/>
              <w:autoSpaceDN w:val="0"/>
              <w:adjustRightInd w:val="0"/>
              <w:spacing w:after="0" w:line="240" w:lineRule="auto"/>
              <w:contextualSpacing/>
              <w:jc w:val="both"/>
              <w:rPr>
                <w:rFonts w:ascii="Times New Roman" w:hAnsi="Times New Roman"/>
                <w:b/>
              </w:rPr>
            </w:pPr>
            <w:r w:rsidRPr="00DF718C">
              <w:rPr>
                <w:rFonts w:ascii="Times New Roman" w:hAnsi="Times New Roman"/>
              </w:rPr>
              <w:t xml:space="preserve">Риски инвестирования в </w:t>
            </w:r>
            <w:r w:rsidRPr="00741CD1">
              <w:rPr>
                <w:rFonts w:ascii="Times New Roman" w:hAnsi="Times New Roman"/>
                <w:b/>
              </w:rPr>
              <w:t>ценные бумаги</w:t>
            </w:r>
            <w:r w:rsidRPr="00DF718C">
              <w:rPr>
                <w:rFonts w:ascii="Times New Roman" w:hAnsi="Times New Roman"/>
              </w:rPr>
              <w:t xml:space="preserve"> включают, но не ограничиваются следующими рисками:</w:t>
            </w:r>
          </w:p>
          <w:p w:rsidR="00DF718C" w:rsidRPr="00741CD1" w:rsidRDefault="00DF718C" w:rsidP="00DF718C">
            <w:pPr>
              <w:widowControl w:val="0"/>
              <w:numPr>
                <w:ilvl w:val="0"/>
                <w:numId w:val="16"/>
              </w:numPr>
              <w:tabs>
                <w:tab w:val="left" w:pos="206"/>
                <w:tab w:val="left" w:pos="777"/>
                <w:tab w:val="left" w:pos="900"/>
                <w:tab w:val="left" w:pos="960"/>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DF718C" w:rsidRPr="00741CD1" w:rsidRDefault="00DF718C" w:rsidP="00DF718C">
            <w:pPr>
              <w:widowControl w:val="0"/>
              <w:numPr>
                <w:ilvl w:val="0"/>
                <w:numId w:val="16"/>
              </w:numPr>
              <w:tabs>
                <w:tab w:val="left" w:pos="206"/>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DF718C" w:rsidRPr="00741CD1" w:rsidRDefault="00DF718C" w:rsidP="00DF718C">
            <w:pPr>
              <w:widowControl w:val="0"/>
              <w:numPr>
                <w:ilvl w:val="0"/>
                <w:numId w:val="16"/>
              </w:numPr>
              <w:tabs>
                <w:tab w:val="left" w:pos="206"/>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рыночный риск, связанный с колебаниями курсов валют, процентных ставок, цен финансовых инструментов;</w:t>
            </w:r>
          </w:p>
          <w:p w:rsidR="00DF718C" w:rsidRPr="00741CD1" w:rsidRDefault="00DF718C" w:rsidP="00DF718C">
            <w:pPr>
              <w:widowControl w:val="0"/>
              <w:numPr>
                <w:ilvl w:val="0"/>
                <w:numId w:val="16"/>
              </w:numPr>
              <w:tabs>
                <w:tab w:val="left" w:pos="206"/>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 xml:space="preserve">ценовой риск, проявляющийся в изменении цен на акции обществ, </w:t>
            </w:r>
            <w:proofErr w:type="gramStart"/>
            <w:r w:rsidRPr="00741CD1">
              <w:rPr>
                <w:rFonts w:ascii="Times New Roman" w:hAnsi="Times New Roman"/>
                <w:b/>
              </w:rPr>
              <w:t>которое</w:t>
            </w:r>
            <w:proofErr w:type="gramEnd"/>
            <w:r w:rsidRPr="00741CD1">
              <w:rPr>
                <w:rFonts w:ascii="Times New Roman" w:hAnsi="Times New Roman"/>
                <w:b/>
              </w:rPr>
              <w:t xml:space="preserve"> может привести к падению стоимости активов Фонда;</w:t>
            </w:r>
          </w:p>
          <w:p w:rsidR="00DF718C" w:rsidRPr="00741CD1" w:rsidRDefault="00DF718C" w:rsidP="00DF718C">
            <w:pPr>
              <w:widowControl w:val="0"/>
              <w:numPr>
                <w:ilvl w:val="0"/>
                <w:numId w:val="16"/>
              </w:numPr>
              <w:tabs>
                <w:tab w:val="left" w:pos="206"/>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риск неправомочных действий в отношении ценных бумаг со стороны третьих лиц;</w:t>
            </w:r>
          </w:p>
          <w:p w:rsidR="00DF718C" w:rsidRPr="00741CD1" w:rsidRDefault="00DF718C" w:rsidP="00DF718C">
            <w:pPr>
              <w:widowControl w:val="0"/>
              <w:numPr>
                <w:ilvl w:val="0"/>
                <w:numId w:val="16"/>
              </w:numPr>
              <w:tabs>
                <w:tab w:val="left" w:pos="206"/>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DF718C" w:rsidRPr="00741CD1" w:rsidRDefault="00DF718C" w:rsidP="00DF718C">
            <w:pPr>
              <w:widowControl w:val="0"/>
              <w:numPr>
                <w:ilvl w:val="0"/>
                <w:numId w:val="16"/>
              </w:numPr>
              <w:tabs>
                <w:tab w:val="left" w:pos="206"/>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риск рыночной ликвидности, связанный с потенциальной невозможностью реализовать активы по благоприятным ценам;</w:t>
            </w:r>
          </w:p>
          <w:p w:rsidR="00DF718C" w:rsidRPr="00741CD1" w:rsidRDefault="00DF718C" w:rsidP="00DF718C">
            <w:pPr>
              <w:widowControl w:val="0"/>
              <w:numPr>
                <w:ilvl w:val="0"/>
                <w:numId w:val="16"/>
              </w:numPr>
              <w:tabs>
                <w:tab w:val="left" w:pos="206"/>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DF718C" w:rsidRPr="00741CD1" w:rsidRDefault="00DF718C" w:rsidP="00DF718C">
            <w:pPr>
              <w:widowControl w:val="0"/>
              <w:numPr>
                <w:ilvl w:val="0"/>
                <w:numId w:val="16"/>
              </w:numPr>
              <w:tabs>
                <w:tab w:val="left" w:pos="206"/>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риск, связанный с изменениями действующего законодательства;</w:t>
            </w:r>
          </w:p>
          <w:p w:rsidR="00DF718C" w:rsidRPr="00741CD1" w:rsidRDefault="00DF718C" w:rsidP="00DF718C">
            <w:pPr>
              <w:widowControl w:val="0"/>
              <w:numPr>
                <w:ilvl w:val="0"/>
                <w:numId w:val="16"/>
              </w:numPr>
              <w:tabs>
                <w:tab w:val="left" w:pos="206"/>
              </w:tabs>
              <w:autoSpaceDE w:val="0"/>
              <w:autoSpaceDN w:val="0"/>
              <w:adjustRightInd w:val="0"/>
              <w:spacing w:after="0" w:line="240" w:lineRule="auto"/>
              <w:ind w:left="0" w:firstLine="0"/>
              <w:contextualSpacing/>
              <w:jc w:val="both"/>
              <w:rPr>
                <w:rFonts w:ascii="Times New Roman" w:hAnsi="Times New Roman"/>
                <w:b/>
              </w:rPr>
            </w:pPr>
            <w:r w:rsidRPr="00741CD1">
              <w:rPr>
                <w:rFonts w:ascii="Times New Roman" w:hAnsi="Times New Roman"/>
                <w:b/>
              </w:rPr>
              <w:t>риск возникновения форс-мажорных обстоятельств, таких как природные катаклизмы и военные действия.</w:t>
            </w:r>
          </w:p>
          <w:p w:rsidR="00DF718C" w:rsidRPr="00DF718C" w:rsidRDefault="00DF718C" w:rsidP="00DF718C">
            <w:pPr>
              <w:widowControl w:val="0"/>
              <w:tabs>
                <w:tab w:val="left" w:pos="206"/>
                <w:tab w:val="left" w:pos="900"/>
                <w:tab w:val="left" w:pos="960"/>
              </w:tabs>
              <w:autoSpaceDE w:val="0"/>
              <w:autoSpaceDN w:val="0"/>
              <w:adjustRightInd w:val="0"/>
              <w:spacing w:after="0" w:line="240" w:lineRule="auto"/>
              <w:contextualSpacing/>
              <w:jc w:val="both"/>
              <w:rPr>
                <w:rFonts w:ascii="Times New Roman" w:hAnsi="Times New Roman"/>
              </w:rPr>
            </w:pPr>
            <w:r w:rsidRPr="00DF718C">
              <w:rPr>
                <w:rFonts w:ascii="Times New Roman" w:hAnsi="Times New Roman"/>
              </w:rPr>
              <w:t xml:space="preserve">Общеизвестна прямая зависимость величины ожидаемой прибыли от уровня принимаемого </w:t>
            </w:r>
            <w:r w:rsidRPr="00DF718C">
              <w:rPr>
                <w:rFonts w:ascii="Times New Roman" w:hAnsi="Times New Roman"/>
              </w:rPr>
              <w:lastRenderedPageBreak/>
              <w:t xml:space="preserve">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DF718C">
              <w:rPr>
                <w:rFonts w:ascii="Times New Roman" w:hAnsi="Times New Roman"/>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DF718C" w:rsidRPr="00DF718C" w:rsidRDefault="00DF718C" w:rsidP="00DF718C">
            <w:pPr>
              <w:tabs>
                <w:tab w:val="left" w:pos="206"/>
              </w:tabs>
              <w:spacing w:after="0" w:line="240" w:lineRule="auto"/>
              <w:contextualSpacing/>
              <w:jc w:val="both"/>
              <w:rPr>
                <w:rFonts w:ascii="Times New Roman" w:hAnsi="Times New Roman"/>
              </w:rPr>
            </w:pPr>
            <w:r w:rsidRPr="00DF718C">
              <w:rPr>
                <w:rFonts w:ascii="Times New Roman" w:hAnsi="Times New Roman"/>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DF718C" w:rsidRPr="00C0198D" w:rsidRDefault="00DF718C" w:rsidP="00DF718C">
            <w:pPr>
              <w:pStyle w:val="ConsPlusNormal"/>
              <w:widowControl/>
              <w:ind w:firstLine="242"/>
              <w:contextualSpacing/>
              <w:jc w:val="both"/>
              <w:rPr>
                <w:rFonts w:ascii="Times New Roman" w:hAnsi="Times New Roman" w:cs="Times New Roman"/>
              </w:rPr>
            </w:pPr>
          </w:p>
        </w:tc>
        <w:tc>
          <w:tcPr>
            <w:tcW w:w="4995" w:type="dxa"/>
          </w:tcPr>
          <w:p w:rsidR="00DF718C" w:rsidRDefault="00DF718C" w:rsidP="00DF718C">
            <w:pPr>
              <w:pStyle w:val="ConsPlusNormal"/>
              <w:widowControl/>
              <w:ind w:firstLine="242"/>
              <w:contextualSpacing/>
              <w:jc w:val="both"/>
              <w:rPr>
                <w:rFonts w:ascii="Times New Roman" w:hAnsi="Times New Roman" w:cs="Times New Roman"/>
                <w:sz w:val="22"/>
                <w:szCs w:val="22"/>
              </w:rPr>
            </w:pPr>
            <w:r>
              <w:rPr>
                <w:rFonts w:ascii="Times New Roman" w:hAnsi="Times New Roman" w:cs="Times New Roman"/>
                <w:sz w:val="22"/>
                <w:szCs w:val="22"/>
              </w:rPr>
              <w:lastRenderedPageBreak/>
              <w:t>26</w:t>
            </w:r>
            <w:r w:rsidRPr="00DF718C">
              <w:rPr>
                <w:rFonts w:ascii="Times New Roman" w:hAnsi="Times New Roman" w:cs="Times New Roman"/>
                <w:sz w:val="22"/>
                <w:szCs w:val="22"/>
              </w:rPr>
              <w:t xml:space="preserve">. Описание рисков, связанных с инвестированием. </w:t>
            </w:r>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r w:rsidRPr="00DF718C">
              <w:rPr>
                <w:rFonts w:ascii="Times New Roman" w:hAnsi="Times New Roman" w:cs="Times New Roman"/>
                <w:sz w:val="22"/>
                <w:szCs w:val="22"/>
              </w:rPr>
              <w:t xml:space="preserve">Инвестирование в </w:t>
            </w:r>
            <w:r w:rsidRPr="00DF718C">
              <w:rPr>
                <w:rFonts w:ascii="Times New Roman" w:hAnsi="Times New Roman" w:cs="Times New Roman"/>
                <w:b/>
                <w:sz w:val="22"/>
                <w:szCs w:val="22"/>
              </w:rPr>
              <w:t xml:space="preserve">активы, предусмотренные инвестиционной декларацией Фонда, </w:t>
            </w:r>
            <w:r w:rsidRPr="00DF718C">
              <w:rPr>
                <w:rFonts w:ascii="Times New Roman" w:hAnsi="Times New Roman" w:cs="Times New Roman"/>
                <w:sz w:val="22"/>
                <w:szCs w:val="22"/>
              </w:rPr>
              <w:t xml:space="preserve">связано с </w:t>
            </w:r>
            <w:r w:rsidRPr="00DF718C">
              <w:rPr>
                <w:rFonts w:ascii="Times New Roman" w:hAnsi="Times New Roman" w:cs="Times New Roman"/>
                <w:b/>
                <w:sz w:val="22"/>
                <w:szCs w:val="22"/>
              </w:rPr>
              <w:t>определенной</w:t>
            </w:r>
            <w:r w:rsidRPr="00DF718C">
              <w:rPr>
                <w:rFonts w:ascii="Times New Roman" w:hAnsi="Times New Roman" w:cs="Times New Roman"/>
                <w:sz w:val="22"/>
                <w:szCs w:val="22"/>
              </w:rPr>
              <w:t xml:space="preserve"> степенью рисков и не подразумевает гарантий, как по возврату основной инвестированной суммы, так и по получению каких-либо доходов.</w:t>
            </w:r>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r w:rsidRPr="00DF718C">
              <w:rPr>
                <w:rFonts w:ascii="Times New Roman" w:hAnsi="Times New Roman" w:cs="Times New Roman"/>
                <w:sz w:val="22"/>
                <w:szCs w:val="22"/>
              </w:rPr>
              <w:t xml:space="preserve">Стоимость объектов </w:t>
            </w:r>
            <w:r w:rsidRPr="00DF718C">
              <w:rPr>
                <w:rFonts w:ascii="Times New Roman" w:hAnsi="Times New Roman" w:cs="Times New Roman"/>
                <w:b/>
                <w:sz w:val="22"/>
                <w:szCs w:val="22"/>
              </w:rPr>
              <w:t>инвестирования,</w:t>
            </w:r>
            <w:r w:rsidRPr="00DF718C">
              <w:rPr>
                <w:rFonts w:ascii="Times New Roman" w:hAnsi="Times New Roman" w:cs="Times New Roman"/>
                <w:sz w:val="22"/>
                <w:szCs w:val="22"/>
              </w:rPr>
              <w:t xml:space="preserve"> </w:t>
            </w:r>
            <w:r w:rsidRPr="00DF718C">
              <w:rPr>
                <w:rFonts w:ascii="Times New Roman" w:hAnsi="Times New Roman" w:cs="Times New Roman"/>
                <w:b/>
                <w:sz w:val="22"/>
                <w:szCs w:val="22"/>
              </w:rPr>
              <w:t>составляющих Фонд,</w:t>
            </w:r>
            <w:r w:rsidRPr="00DF718C">
              <w:rPr>
                <w:rFonts w:ascii="Times New Roman" w:hAnsi="Times New Roman" w:cs="Times New Roman"/>
                <w:sz w:val="22"/>
                <w:szCs w:val="22"/>
              </w:rPr>
              <w:t xml:space="preserve"> и, соответственно, расчетная стоимость инвестиционного пая </w:t>
            </w:r>
            <w:r>
              <w:rPr>
                <w:rFonts w:ascii="Times New Roman" w:hAnsi="Times New Roman" w:cs="Times New Roman"/>
                <w:sz w:val="22"/>
                <w:szCs w:val="22"/>
              </w:rPr>
              <w:t xml:space="preserve">Фонда </w:t>
            </w:r>
            <w:r w:rsidRPr="00DF718C">
              <w:rPr>
                <w:rFonts w:ascii="Times New Roman" w:hAnsi="Times New Roman" w:cs="Times New Roman"/>
                <w:sz w:val="22"/>
                <w:szCs w:val="22"/>
              </w:rPr>
              <w:t xml:space="preserve">могут </w:t>
            </w:r>
            <w:proofErr w:type="gramStart"/>
            <w:r w:rsidRPr="00DF718C">
              <w:rPr>
                <w:rFonts w:ascii="Times New Roman" w:hAnsi="Times New Roman" w:cs="Times New Roman"/>
                <w:sz w:val="22"/>
                <w:szCs w:val="22"/>
              </w:rPr>
              <w:t>увеличиваться и уменьшаться</w:t>
            </w:r>
            <w:proofErr w:type="gramEnd"/>
            <w:r w:rsidRPr="00DF718C">
              <w:rPr>
                <w:rFonts w:ascii="Times New Roman" w:hAnsi="Times New Roman" w:cs="Times New Roman"/>
                <w:sz w:val="22"/>
                <w:szCs w:val="22"/>
              </w:rPr>
              <w:t xml:space="preserve">,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w:t>
            </w:r>
            <w:r>
              <w:rPr>
                <w:rFonts w:ascii="Times New Roman" w:hAnsi="Times New Roman" w:cs="Times New Roman"/>
                <w:sz w:val="22"/>
                <w:szCs w:val="22"/>
              </w:rPr>
              <w:t xml:space="preserve">Фонда </w:t>
            </w:r>
            <w:r w:rsidRPr="00DF718C">
              <w:rPr>
                <w:rFonts w:ascii="Times New Roman" w:hAnsi="Times New Roman" w:cs="Times New Roman"/>
                <w:sz w:val="22"/>
                <w:szCs w:val="22"/>
              </w:rPr>
              <w:t>могут расцениваться не иначе как предположения.</w:t>
            </w:r>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r w:rsidRPr="00DF718C">
              <w:rPr>
                <w:rFonts w:ascii="Times New Roman" w:hAnsi="Times New Roman" w:cs="Times New Roman"/>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proofErr w:type="gramStart"/>
            <w:r w:rsidRPr="00DF718C">
              <w:rPr>
                <w:rFonts w:ascii="Times New Roman" w:hAnsi="Times New Roman" w:cs="Times New Roman"/>
                <w:sz w:val="22"/>
                <w:szCs w:val="22"/>
              </w:rPr>
              <w:t xml:space="preserve">В наиболее общем виде понятие риска связано с возможностью положительного или </w:t>
            </w:r>
            <w:r w:rsidRPr="00DF718C">
              <w:rPr>
                <w:rFonts w:ascii="Times New Roman" w:hAnsi="Times New Roman" w:cs="Times New Roman"/>
                <w:sz w:val="22"/>
                <w:szCs w:val="22"/>
              </w:rPr>
              <w:lastRenderedPageBreak/>
              <w:t>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r w:rsidRPr="00DF718C">
              <w:rPr>
                <w:rFonts w:ascii="Times New Roman" w:hAnsi="Times New Roman" w:cs="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r w:rsidRPr="00DF718C">
              <w:rPr>
                <w:rFonts w:ascii="Times New Roman" w:hAnsi="Times New Roman" w:cs="Times New Roman"/>
                <w:sz w:val="22"/>
                <w:szCs w:val="22"/>
              </w:rPr>
              <w:t xml:space="preserve">Инвестор неизбежно сталкивается с необходимостью учитывать факторы риска самого различного свойства. </w:t>
            </w:r>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r w:rsidRPr="00DF718C">
              <w:rPr>
                <w:rFonts w:ascii="Times New Roman" w:hAnsi="Times New Roman" w:cs="Times New Roman"/>
                <w:sz w:val="22"/>
                <w:szCs w:val="22"/>
              </w:rPr>
              <w:t xml:space="preserve">Риски инвестирования в </w:t>
            </w:r>
            <w:r w:rsidRPr="00741CD1">
              <w:rPr>
                <w:rFonts w:ascii="Times New Roman" w:hAnsi="Times New Roman" w:cs="Times New Roman"/>
                <w:b/>
                <w:sz w:val="22"/>
                <w:szCs w:val="22"/>
              </w:rPr>
              <w:t>активы, указанные в инвестиционной декларации Фонда</w:t>
            </w:r>
            <w:r w:rsidRPr="00DF718C">
              <w:rPr>
                <w:rFonts w:ascii="Times New Roman" w:hAnsi="Times New Roman" w:cs="Times New Roman"/>
                <w:sz w:val="22"/>
                <w:szCs w:val="22"/>
              </w:rPr>
              <w:t>, включают, но не ограничиваются следующими рисками:</w:t>
            </w:r>
          </w:p>
          <w:p w:rsidR="00DF718C" w:rsidRPr="00741CD1" w:rsidRDefault="00DF718C" w:rsidP="00DF718C">
            <w:pPr>
              <w:pStyle w:val="ConsPlusNormal"/>
              <w:widowControl/>
              <w:ind w:firstLine="242"/>
              <w:contextualSpacing/>
              <w:jc w:val="both"/>
              <w:rPr>
                <w:rFonts w:ascii="Times New Roman" w:hAnsi="Times New Roman" w:cs="Times New Roman"/>
                <w:b/>
                <w:sz w:val="22"/>
                <w:szCs w:val="22"/>
              </w:rPr>
            </w:pPr>
            <w:r w:rsidRPr="00741CD1">
              <w:rPr>
                <w:rFonts w:ascii="Times New Roman" w:hAnsi="Times New Roman" w:cs="Times New Roman"/>
                <w:b/>
                <w:sz w:val="22"/>
                <w:szCs w:val="22"/>
              </w:rPr>
              <w:t>- Нефинансовые риски;</w:t>
            </w:r>
          </w:p>
          <w:p w:rsidR="00DF718C" w:rsidRPr="00741CD1" w:rsidRDefault="00DF718C" w:rsidP="00DF718C">
            <w:pPr>
              <w:pStyle w:val="ConsPlusNormal"/>
              <w:widowControl/>
              <w:ind w:firstLine="242"/>
              <w:contextualSpacing/>
              <w:jc w:val="both"/>
              <w:rPr>
                <w:rFonts w:ascii="Times New Roman" w:hAnsi="Times New Roman" w:cs="Times New Roman"/>
                <w:b/>
                <w:sz w:val="22"/>
                <w:szCs w:val="22"/>
              </w:rPr>
            </w:pPr>
            <w:r w:rsidRPr="00741CD1">
              <w:rPr>
                <w:rFonts w:ascii="Times New Roman" w:hAnsi="Times New Roman" w:cs="Times New Roman"/>
                <w:b/>
                <w:sz w:val="22"/>
                <w:szCs w:val="22"/>
              </w:rPr>
              <w:t>- Финансовые риски.</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 xml:space="preserve"> </w:t>
            </w:r>
          </w:p>
          <w:p w:rsidR="00DF718C" w:rsidRPr="00741CD1" w:rsidRDefault="00DF718C" w:rsidP="00DF718C">
            <w:pPr>
              <w:pStyle w:val="aa"/>
              <w:numPr>
                <w:ilvl w:val="0"/>
                <w:numId w:val="15"/>
              </w:numPr>
              <w:ind w:left="0" w:firstLine="242"/>
              <w:jc w:val="both"/>
              <w:rPr>
                <w:b/>
                <w:sz w:val="22"/>
                <w:szCs w:val="22"/>
                <w:lang w:val="en-US"/>
              </w:rPr>
            </w:pPr>
            <w:r w:rsidRPr="00741CD1">
              <w:rPr>
                <w:b/>
                <w:sz w:val="22"/>
                <w:szCs w:val="22"/>
              </w:rPr>
              <w:tab/>
              <w:t>Нефинансовые риски.</w:t>
            </w:r>
          </w:p>
          <w:p w:rsidR="00DF718C" w:rsidRPr="00741CD1" w:rsidRDefault="00DF718C" w:rsidP="00DF718C">
            <w:pPr>
              <w:tabs>
                <w:tab w:val="left" w:pos="2684"/>
              </w:tabs>
              <w:spacing w:after="0" w:line="240" w:lineRule="auto"/>
              <w:ind w:firstLine="242"/>
              <w:contextualSpacing/>
              <w:jc w:val="both"/>
              <w:rPr>
                <w:rFonts w:ascii="Times New Roman" w:hAnsi="Times New Roman"/>
                <w:b/>
              </w:rPr>
            </w:pP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К нефинансовым рискам, в том числе, могут быть отнесены следующие риски:</w:t>
            </w:r>
          </w:p>
          <w:p w:rsidR="00DF718C" w:rsidRPr="00741CD1" w:rsidRDefault="00DF718C" w:rsidP="00DF718C">
            <w:pPr>
              <w:pStyle w:val="ad"/>
              <w:ind w:firstLine="242"/>
              <w:contextualSpacing/>
              <w:rPr>
                <w:rFonts w:ascii="Times New Roman" w:hAnsi="Times New Roman" w:cs="Times New Roman"/>
                <w:b/>
                <w:sz w:val="22"/>
                <w:szCs w:val="22"/>
              </w:rPr>
            </w:pPr>
            <w:r w:rsidRPr="00741CD1">
              <w:rPr>
                <w:rFonts w:ascii="Times New Roman" w:hAnsi="Times New Roman" w:cs="Times New Roman"/>
                <w:b/>
                <w:sz w:val="22"/>
                <w:szCs w:val="22"/>
              </w:rPr>
              <w:t xml:space="preserve">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w:t>
            </w:r>
            <w:proofErr w:type="gramStart"/>
            <w:r w:rsidRPr="00741CD1">
              <w:rPr>
                <w:rFonts w:ascii="Times New Roman" w:hAnsi="Times New Roman" w:cs="Times New Roman"/>
                <w:b/>
                <w:sz w:val="22"/>
                <w:szCs w:val="22"/>
              </w:rPr>
              <w:t>подлежит диверсификации и не понижаем</w:t>
            </w:r>
            <w:proofErr w:type="gramEnd"/>
            <w:r w:rsidRPr="00741CD1">
              <w:rPr>
                <w:rFonts w:ascii="Times New Roman" w:hAnsi="Times New Roman" w:cs="Times New Roman"/>
                <w:b/>
                <w:sz w:val="22"/>
                <w:szCs w:val="22"/>
              </w:rPr>
              <w:t>.</w:t>
            </w:r>
          </w:p>
          <w:p w:rsidR="00DF718C" w:rsidRPr="00741CD1" w:rsidRDefault="00DF718C" w:rsidP="00DF718C">
            <w:pPr>
              <w:pStyle w:val="a6"/>
              <w:spacing w:after="0" w:line="240" w:lineRule="auto"/>
              <w:ind w:firstLine="242"/>
              <w:contextualSpacing/>
              <w:jc w:val="both"/>
              <w:rPr>
                <w:rFonts w:ascii="Times New Roman" w:hAnsi="Times New Roman"/>
                <w:b/>
              </w:rPr>
            </w:pPr>
            <w:r w:rsidRPr="00741CD1">
              <w:rPr>
                <w:rFonts w:ascii="Times New Roman" w:hAnsi="Times New Roman"/>
                <w:b/>
              </w:rPr>
              <w:t xml:space="preserve">Системный риск связан с нарушением финансовой стабильности и возникшей неспособности большого числа финансовых институтов </w:t>
            </w:r>
            <w:proofErr w:type="gramStart"/>
            <w:r w:rsidRPr="00741CD1">
              <w:rPr>
                <w:rFonts w:ascii="Times New Roman" w:hAnsi="Times New Roman"/>
                <w:b/>
              </w:rPr>
              <w:t>выполнять</w:t>
            </w:r>
            <w:proofErr w:type="gramEnd"/>
            <w:r w:rsidRPr="00741CD1">
              <w:rPr>
                <w:rFonts w:ascii="Times New Roman" w:hAnsi="Times New Roman"/>
                <w:b/>
              </w:rPr>
              <w:t xml:space="preserve"> свои функции и </w:t>
            </w:r>
            <w:r w:rsidRPr="00741CD1">
              <w:rPr>
                <w:rFonts w:ascii="Times New Roman" w:hAnsi="Times New Roman"/>
                <w:b/>
              </w:rPr>
              <w:lastRenderedPageBreak/>
              <w:t xml:space="preserve">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F718C" w:rsidRPr="00741CD1" w:rsidRDefault="00DF718C" w:rsidP="00DF718C">
            <w:pPr>
              <w:pStyle w:val="ad"/>
              <w:ind w:firstLine="242"/>
              <w:contextualSpacing/>
              <w:rPr>
                <w:rFonts w:ascii="Times New Roman" w:hAnsi="Times New Roman" w:cs="Times New Roman"/>
                <w:b/>
                <w:sz w:val="22"/>
                <w:szCs w:val="22"/>
              </w:rPr>
            </w:pPr>
            <w:r w:rsidRPr="00741CD1">
              <w:rPr>
                <w:rFonts w:ascii="Times New Roman" w:hAnsi="Times New Roman" w:cs="Times New Roman"/>
                <w:b/>
                <w:sz w:val="22"/>
                <w:szCs w:val="22"/>
              </w:rPr>
              <w:t xml:space="preserve">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w:t>
            </w:r>
            <w:proofErr w:type="gramStart"/>
            <w:r w:rsidRPr="00741CD1">
              <w:rPr>
                <w:rFonts w:ascii="Times New Roman" w:hAnsi="Times New Roman" w:cs="Times New Roman"/>
                <w:b/>
                <w:sz w:val="22"/>
                <w:szCs w:val="22"/>
              </w:rPr>
              <w:t>относится</w:t>
            </w:r>
            <w:proofErr w:type="gramEnd"/>
            <w:r w:rsidRPr="00741CD1">
              <w:rPr>
                <w:rFonts w:ascii="Times New Roman" w:hAnsi="Times New Roman" w:cs="Times New Roman"/>
                <w:b/>
                <w:sz w:val="22"/>
                <w:szCs w:val="22"/>
              </w:rPr>
              <w:t xml:space="preserve"> к подбору сотрудников, оптимизации бизнес-процессов и выбору контрагентов.</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 xml:space="preserve">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w:t>
            </w:r>
            <w:proofErr w:type="spellStart"/>
            <w:r w:rsidRPr="00741CD1">
              <w:rPr>
                <w:rFonts w:ascii="Times New Roman" w:hAnsi="Times New Roman"/>
                <w:b/>
              </w:rPr>
              <w:t>саморегулируемых</w:t>
            </w:r>
            <w:proofErr w:type="spellEnd"/>
            <w:r w:rsidRPr="00741CD1">
              <w:rPr>
                <w:rFonts w:ascii="Times New Roman" w:hAnsi="Times New Roman"/>
                <w:b/>
              </w:rPr>
              <w:t xml:space="preserve">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F718C" w:rsidRPr="00741CD1" w:rsidRDefault="00DF718C" w:rsidP="00DF718C">
            <w:pPr>
              <w:pStyle w:val="ad"/>
              <w:ind w:firstLine="242"/>
              <w:contextualSpacing/>
              <w:rPr>
                <w:rFonts w:ascii="Times New Roman" w:hAnsi="Times New Roman" w:cs="Times New Roman"/>
                <w:b/>
                <w:sz w:val="22"/>
                <w:szCs w:val="22"/>
              </w:rPr>
            </w:pPr>
            <w:r w:rsidRPr="00741CD1">
              <w:rPr>
                <w:rFonts w:ascii="Times New Roman" w:hAnsi="Times New Roman" w:cs="Times New Roman"/>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 xml:space="preserve">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w:t>
            </w:r>
            <w:r w:rsidRPr="00741CD1">
              <w:rPr>
                <w:rFonts w:ascii="Times New Roman" w:hAnsi="Times New Roman"/>
                <w:b/>
              </w:rPr>
              <w:lastRenderedPageBreak/>
              <w:t>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w:t>
            </w:r>
            <w:proofErr w:type="gramStart"/>
            <w:r w:rsidRPr="00741CD1">
              <w:rPr>
                <w:rFonts w:ascii="Times New Roman" w:hAnsi="Times New Roman"/>
                <w:b/>
              </w:rPr>
              <w:t>выстроила систему корпоративного управления и внутреннего контроля и оперативно принимает</w:t>
            </w:r>
            <w:proofErr w:type="gramEnd"/>
            <w:r w:rsidRPr="00741CD1">
              <w:rPr>
                <w:rFonts w:ascii="Times New Roman" w:hAnsi="Times New Roman"/>
                <w:b/>
              </w:rPr>
              <w:t xml:space="preserve"> меры по приведению своей деятельности в полное соответствие с действующими нормативными актами. </w:t>
            </w:r>
          </w:p>
          <w:p w:rsidR="00DF718C" w:rsidRPr="00741CD1" w:rsidRDefault="00DF718C" w:rsidP="00DF718C">
            <w:pPr>
              <w:spacing w:after="0" w:line="240" w:lineRule="auto"/>
              <w:ind w:firstLine="242"/>
              <w:contextualSpacing/>
              <w:jc w:val="both"/>
              <w:rPr>
                <w:rFonts w:ascii="Times New Roman" w:hAnsi="Times New Roman"/>
                <w:b/>
              </w:rPr>
            </w:pPr>
          </w:p>
          <w:p w:rsidR="00DF718C" w:rsidRPr="00741CD1" w:rsidRDefault="00DF718C" w:rsidP="00DF718C">
            <w:pPr>
              <w:pStyle w:val="aa"/>
              <w:numPr>
                <w:ilvl w:val="0"/>
                <w:numId w:val="15"/>
              </w:numPr>
              <w:ind w:left="0" w:firstLine="242"/>
              <w:jc w:val="both"/>
              <w:rPr>
                <w:b/>
                <w:sz w:val="22"/>
                <w:szCs w:val="22"/>
              </w:rPr>
            </w:pPr>
            <w:r w:rsidRPr="00741CD1">
              <w:rPr>
                <w:b/>
                <w:sz w:val="22"/>
                <w:szCs w:val="22"/>
              </w:rPr>
              <w:t xml:space="preserve"> Финансовые риски.</w:t>
            </w:r>
          </w:p>
          <w:p w:rsidR="00DF718C" w:rsidRPr="00741CD1" w:rsidRDefault="00DF718C" w:rsidP="00DF718C">
            <w:pPr>
              <w:spacing w:after="0" w:line="240" w:lineRule="auto"/>
              <w:ind w:firstLine="242"/>
              <w:contextualSpacing/>
              <w:jc w:val="both"/>
              <w:rPr>
                <w:rFonts w:ascii="Times New Roman" w:hAnsi="Times New Roman"/>
                <w:b/>
              </w:rPr>
            </w:pP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К финансовым рискам, в том числе, могут быть отнесены следующие риски:</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 xml:space="preserve">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w:t>
            </w:r>
            <w:r w:rsidRPr="00741CD1">
              <w:rPr>
                <w:rFonts w:ascii="Times New Roman" w:hAnsi="Times New Roman"/>
                <w:b/>
              </w:rPr>
              <w:lastRenderedPageBreak/>
              <w:t>совпадает со сроком получения процентного дохода от таких активов.</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DF718C" w:rsidRPr="00741CD1" w:rsidRDefault="00DF718C" w:rsidP="00DF718C">
            <w:pPr>
              <w:pStyle w:val="ad"/>
              <w:ind w:firstLine="242"/>
              <w:contextualSpacing/>
              <w:rPr>
                <w:rFonts w:ascii="Times New Roman" w:hAnsi="Times New Roman" w:cs="Times New Roman"/>
                <w:b/>
                <w:sz w:val="22"/>
                <w:szCs w:val="22"/>
              </w:rPr>
            </w:pPr>
          </w:p>
          <w:p w:rsidR="00DF718C" w:rsidRPr="00741CD1" w:rsidRDefault="00DF718C" w:rsidP="00DF718C">
            <w:pPr>
              <w:pStyle w:val="aa"/>
              <w:ind w:left="3" w:firstLine="239"/>
              <w:jc w:val="both"/>
              <w:rPr>
                <w:b/>
                <w:sz w:val="22"/>
                <w:szCs w:val="22"/>
              </w:rPr>
            </w:pPr>
            <w:r w:rsidRPr="00741CD1">
              <w:rPr>
                <w:b/>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F718C" w:rsidRPr="00741CD1" w:rsidRDefault="00DF718C" w:rsidP="00DF718C">
            <w:pPr>
              <w:pStyle w:val="aa"/>
              <w:ind w:left="0" w:firstLine="287"/>
              <w:jc w:val="both"/>
              <w:rPr>
                <w:b/>
                <w:sz w:val="22"/>
                <w:szCs w:val="22"/>
              </w:rPr>
            </w:pPr>
            <w:r w:rsidRPr="00741CD1">
              <w:rPr>
                <w:b/>
                <w:sz w:val="22"/>
                <w:szCs w:val="22"/>
              </w:rPr>
              <w:t xml:space="preserve">Помимо финансовых и нефинансовых рисков инвестирование в </w:t>
            </w:r>
            <w:proofErr w:type="gramStart"/>
            <w:r w:rsidRPr="00741CD1">
              <w:rPr>
                <w:b/>
                <w:sz w:val="22"/>
                <w:szCs w:val="22"/>
              </w:rPr>
              <w:t>активы, предусмотренные инвестиционной декларацией Фонда может</w:t>
            </w:r>
            <w:proofErr w:type="gramEnd"/>
            <w:r w:rsidRPr="00741CD1">
              <w:rPr>
                <w:b/>
                <w:sz w:val="22"/>
                <w:szCs w:val="22"/>
              </w:rPr>
              <w:t xml:space="preserve"> включать следующие риски:</w:t>
            </w:r>
          </w:p>
          <w:p w:rsidR="00DF718C" w:rsidRPr="00741CD1" w:rsidRDefault="00DF718C" w:rsidP="00DF718C">
            <w:pPr>
              <w:pStyle w:val="aa"/>
              <w:ind w:left="0" w:firstLine="242"/>
              <w:jc w:val="both"/>
              <w:rPr>
                <w:b/>
                <w:sz w:val="22"/>
                <w:szCs w:val="22"/>
              </w:rPr>
            </w:pPr>
            <w:r w:rsidRPr="00741CD1">
              <w:rPr>
                <w:b/>
                <w:sz w:val="22"/>
                <w:szCs w:val="22"/>
              </w:rPr>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DF718C" w:rsidRPr="00741CD1" w:rsidRDefault="00DF718C" w:rsidP="00DF718C">
            <w:pPr>
              <w:pStyle w:val="aa"/>
              <w:ind w:left="0" w:firstLine="242"/>
              <w:jc w:val="both"/>
              <w:rPr>
                <w:b/>
                <w:sz w:val="22"/>
                <w:szCs w:val="22"/>
              </w:rPr>
            </w:pP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К числу кредитных рисков, в том числе, относятся:</w:t>
            </w:r>
          </w:p>
          <w:p w:rsidR="00DF718C" w:rsidRPr="00741CD1" w:rsidRDefault="00DF718C" w:rsidP="00DF718C">
            <w:pPr>
              <w:pStyle w:val="a6"/>
              <w:tabs>
                <w:tab w:val="num" w:pos="284"/>
              </w:tabs>
              <w:spacing w:after="0" w:line="240" w:lineRule="auto"/>
              <w:ind w:firstLine="242"/>
              <w:contextualSpacing/>
              <w:jc w:val="both"/>
              <w:rPr>
                <w:rFonts w:ascii="Times New Roman" w:hAnsi="Times New Roman"/>
                <w:b/>
              </w:rPr>
            </w:pPr>
            <w:proofErr w:type="gramStart"/>
            <w:r w:rsidRPr="00741CD1">
              <w:rPr>
                <w:rFonts w:ascii="Times New Roman" w:hAnsi="Times New Roman"/>
                <w:b/>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roofErr w:type="gramEnd"/>
          </w:p>
          <w:p w:rsidR="00DF718C" w:rsidRPr="00741CD1" w:rsidRDefault="00DF718C" w:rsidP="00DF718C">
            <w:pPr>
              <w:pStyle w:val="ad"/>
              <w:ind w:firstLine="242"/>
              <w:contextualSpacing/>
              <w:rPr>
                <w:rFonts w:ascii="Times New Roman" w:hAnsi="Times New Roman" w:cs="Times New Roman"/>
                <w:b/>
                <w:sz w:val="22"/>
                <w:szCs w:val="22"/>
              </w:rPr>
            </w:pPr>
            <w:r w:rsidRPr="00741CD1">
              <w:rPr>
                <w:rFonts w:ascii="Times New Roman" w:hAnsi="Times New Roman" w:cs="Times New Roman"/>
                <w:b/>
                <w:sz w:val="22"/>
                <w:szCs w:val="22"/>
              </w:rPr>
              <w:t>Инвестор несет риск дефолта в отношении активов, входящих в состав Фонда.</w:t>
            </w:r>
          </w:p>
          <w:p w:rsidR="00DF718C" w:rsidRPr="00741CD1" w:rsidRDefault="00DF718C" w:rsidP="00DF718C">
            <w:pPr>
              <w:pStyle w:val="ad"/>
              <w:ind w:firstLine="242"/>
              <w:contextualSpacing/>
              <w:rPr>
                <w:rFonts w:ascii="Times New Roman" w:hAnsi="Times New Roman" w:cs="Times New Roman"/>
                <w:b/>
                <w:sz w:val="22"/>
                <w:szCs w:val="22"/>
              </w:rPr>
            </w:pPr>
            <w:r w:rsidRPr="00741CD1">
              <w:rPr>
                <w:rFonts w:ascii="Times New Roman" w:hAnsi="Times New Roman" w:cs="Times New Roman"/>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 xml:space="preserve">Риск контрагента — третьего лица проявляется в риске неисполнения обязательств перед управляющей компанией со стороны контрагентов. </w:t>
            </w:r>
            <w:proofErr w:type="gramStart"/>
            <w:r w:rsidRPr="00741CD1">
              <w:rPr>
                <w:rFonts w:ascii="Times New Roman" w:hAnsi="Times New Roman"/>
                <w:b/>
              </w:rPr>
              <w:t xml:space="preserve">Управляющая </w:t>
            </w:r>
            <w:r w:rsidRPr="00741CD1">
              <w:rPr>
                <w:rFonts w:ascii="Times New Roman" w:hAnsi="Times New Roman"/>
                <w:b/>
              </w:rPr>
              <w:lastRenderedPageBreak/>
              <w:t>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roofErr w:type="gramEnd"/>
          </w:p>
          <w:p w:rsidR="00DF718C" w:rsidRPr="00741CD1" w:rsidRDefault="00DF718C" w:rsidP="00DF718C">
            <w:pPr>
              <w:spacing w:after="0" w:line="240" w:lineRule="auto"/>
              <w:ind w:firstLine="242"/>
              <w:contextualSpacing/>
              <w:jc w:val="both"/>
              <w:rPr>
                <w:rFonts w:ascii="Times New Roman" w:hAnsi="Times New Roman"/>
                <w:b/>
                <w:i/>
              </w:rPr>
            </w:pPr>
          </w:p>
          <w:p w:rsidR="00DF718C" w:rsidRPr="00741CD1" w:rsidRDefault="00DF718C" w:rsidP="00DF718C">
            <w:pPr>
              <w:pStyle w:val="aa"/>
              <w:ind w:left="0" w:firstLine="242"/>
              <w:jc w:val="both"/>
              <w:rPr>
                <w:b/>
                <w:sz w:val="22"/>
                <w:szCs w:val="22"/>
              </w:rPr>
            </w:pPr>
            <w:r w:rsidRPr="00741CD1">
              <w:rPr>
                <w:b/>
                <w:sz w:val="22"/>
                <w:szCs w:val="22"/>
              </w:rPr>
              <w:t xml:space="preserve">Инвестированию в иностранные ценные бумаги присущи описанные выше риски со следующими особенностями. </w:t>
            </w:r>
          </w:p>
          <w:p w:rsidR="00DF718C" w:rsidRPr="00741CD1" w:rsidRDefault="00DF718C" w:rsidP="00DF718C">
            <w:pPr>
              <w:pStyle w:val="a6"/>
              <w:tabs>
                <w:tab w:val="num" w:pos="284"/>
              </w:tabs>
              <w:spacing w:after="0" w:line="240" w:lineRule="auto"/>
              <w:ind w:firstLine="242"/>
              <w:contextualSpacing/>
              <w:jc w:val="both"/>
              <w:rPr>
                <w:rFonts w:ascii="Times New Roman" w:hAnsi="Times New Roman"/>
                <w:b/>
              </w:rPr>
            </w:pPr>
            <w:r w:rsidRPr="00741CD1">
              <w:rPr>
                <w:rFonts w:ascii="Times New Roman" w:hAnsi="Times New Roman"/>
                <w:b/>
              </w:rPr>
              <w:t>Иностранные финансовые инструменты и активы могут быть приобретены за рубежом или на российском, в том числе организованном рынке.</w:t>
            </w:r>
          </w:p>
          <w:p w:rsidR="00DF718C" w:rsidRPr="00741CD1" w:rsidRDefault="00DF718C" w:rsidP="00DF718C">
            <w:pPr>
              <w:spacing w:after="0" w:line="240" w:lineRule="auto"/>
              <w:ind w:firstLine="242"/>
              <w:contextualSpacing/>
              <w:jc w:val="both"/>
              <w:rPr>
                <w:rFonts w:ascii="Times New Roman" w:hAnsi="Times New Roman"/>
                <w:b/>
              </w:rPr>
            </w:pPr>
            <w:r w:rsidRPr="00741CD1">
              <w:rPr>
                <w:rFonts w:ascii="Times New Roman" w:hAnsi="Times New Roman"/>
                <w:b/>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DF718C" w:rsidRPr="00741CD1" w:rsidRDefault="00DF718C" w:rsidP="00DF718C">
            <w:pPr>
              <w:pStyle w:val="ConsPlusNormal"/>
              <w:widowControl/>
              <w:ind w:firstLine="242"/>
              <w:contextualSpacing/>
              <w:jc w:val="both"/>
              <w:rPr>
                <w:rFonts w:ascii="Times New Roman" w:hAnsi="Times New Roman" w:cs="Times New Roman"/>
                <w:b/>
                <w:sz w:val="22"/>
                <w:szCs w:val="22"/>
              </w:rPr>
            </w:pPr>
            <w:r w:rsidRPr="00741CD1">
              <w:rPr>
                <w:rFonts w:ascii="Times New Roman" w:hAnsi="Times New Roman" w:cs="Times New Roman"/>
                <w:b/>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r w:rsidRPr="00DF718C">
              <w:rPr>
                <w:rFonts w:ascii="Times New Roman" w:hAnsi="Times New Roman" w:cs="Times New Roman"/>
                <w:sz w:val="22"/>
                <w:szCs w:val="22"/>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DF718C">
              <w:rPr>
                <w:rFonts w:ascii="Times New Roman" w:hAnsi="Times New Roman" w:cs="Times New Roman"/>
                <w:sz w:val="22"/>
                <w:szCs w:val="22"/>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DF718C" w:rsidRPr="00DF718C" w:rsidRDefault="00DF718C" w:rsidP="00DF718C">
            <w:pPr>
              <w:pStyle w:val="ConsPlusNormal"/>
              <w:widowControl/>
              <w:ind w:firstLine="242"/>
              <w:contextualSpacing/>
              <w:jc w:val="both"/>
              <w:rPr>
                <w:rFonts w:ascii="Times New Roman" w:hAnsi="Times New Roman" w:cs="Times New Roman"/>
                <w:sz w:val="22"/>
                <w:szCs w:val="22"/>
              </w:rPr>
            </w:pPr>
            <w:r w:rsidRPr="00DF718C">
              <w:rPr>
                <w:rFonts w:ascii="Times New Roman" w:hAnsi="Times New Roman" w:cs="Times New Roman"/>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DF718C" w:rsidRPr="00C0198D" w:rsidRDefault="00DF718C" w:rsidP="00DF718C">
            <w:pPr>
              <w:pStyle w:val="ConsPlusNormal"/>
              <w:widowControl/>
              <w:ind w:firstLine="242"/>
              <w:contextualSpacing/>
              <w:jc w:val="both"/>
              <w:rPr>
                <w:rFonts w:ascii="Times New Roman" w:hAnsi="Times New Roman" w:cs="Times New Roman"/>
              </w:rPr>
            </w:pPr>
          </w:p>
        </w:tc>
      </w:tr>
    </w:tbl>
    <w:p w:rsidR="00DF718C" w:rsidRDefault="00DF718C" w:rsidP="00DF718C">
      <w:pPr>
        <w:widowControl w:val="0"/>
        <w:autoSpaceDE w:val="0"/>
        <w:autoSpaceDN w:val="0"/>
        <w:adjustRightInd w:val="0"/>
        <w:spacing w:after="0" w:line="240" w:lineRule="auto"/>
        <w:ind w:left="1211"/>
        <w:jc w:val="both"/>
        <w:rPr>
          <w:rFonts w:ascii="Times New Roman" w:hAnsi="Times New Roman"/>
        </w:rPr>
      </w:pPr>
    </w:p>
    <w:p w:rsidR="00B840AD" w:rsidRPr="00B840AD" w:rsidRDefault="00B840AD"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п. </w:t>
      </w:r>
      <w:r w:rsidR="00FB2707">
        <w:rPr>
          <w:rFonts w:ascii="Times New Roman" w:hAnsi="Times New Roman"/>
        </w:rPr>
        <w:t>30</w:t>
      </w:r>
      <w:r w:rsidRPr="00B840AD">
        <w:rPr>
          <w:rFonts w:ascii="Times New Roman" w:hAnsi="Times New Roman"/>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30. Управляющая компания не вправе:</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 xml:space="preserve">1) распоряжаться имуществом, составляющим Фонд, без предварительного согласия специализированного депозитария, за </w:t>
            </w:r>
            <w:r w:rsidRPr="00FB2707">
              <w:rPr>
                <w:rFonts w:ascii="Times New Roman" w:hAnsi="Times New Roman"/>
              </w:rPr>
              <w:lastRenderedPageBreak/>
              <w:t>исключением сделок, совершаемых на организованных торгах, проводимых российской или иностранной биржей либо иным организатором торговли;</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2) распоряжаться денежными средствами, находящимися на транзитном счете, без предварительного согласия специализированного депозитария;</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FB2707">
              <w:rPr>
                <w:rFonts w:ascii="Times New Roman" w:hAnsi="Times New Roman"/>
              </w:rPr>
              <w:t>ств тр</w:t>
            </w:r>
            <w:proofErr w:type="gramEnd"/>
            <w:r w:rsidRPr="00FB2707">
              <w:rPr>
                <w:rFonts w:ascii="Times New Roman" w:hAnsi="Times New Roman"/>
              </w:rPr>
              <w:t>етьих лиц;</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5) совершать следующие сделки или давать поручения на совершение следующих сделок:</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безвозмездному отчуждению имущества, составляющего Фонд;</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FB2707">
              <w:rPr>
                <w:rFonts w:ascii="Times New Roman" w:hAnsi="Times New Roman"/>
              </w:rPr>
              <w:t>дств дл</w:t>
            </w:r>
            <w:proofErr w:type="gramEnd"/>
            <w:r w:rsidRPr="00FB2707">
              <w:rPr>
                <w:rFonts w:ascii="Times New Roman" w:hAnsi="Times New Roman"/>
              </w:rPr>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 xml:space="preserve">сделки </w:t>
            </w:r>
            <w:proofErr w:type="spellStart"/>
            <w:r w:rsidRPr="00FB2707">
              <w:rPr>
                <w:rFonts w:ascii="Times New Roman" w:hAnsi="Times New Roman"/>
              </w:rPr>
              <w:t>репо</w:t>
            </w:r>
            <w:proofErr w:type="spellEnd"/>
            <w:r w:rsidRPr="00FB2707">
              <w:rPr>
                <w:rFonts w:ascii="Times New Roman" w:hAnsi="Times New Roman"/>
              </w:rPr>
              <w:t>, подлежащие исполнению за счет имущества Фонда;</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w:t>
            </w:r>
            <w:r w:rsidRPr="00FB2707">
              <w:rPr>
                <w:rFonts w:ascii="Times New Roman" w:hAnsi="Times New Roman"/>
              </w:rPr>
              <w:lastRenderedPageBreak/>
              <w:t>акционерного инвестиционного фонда, в котором управляющая компания выполняет функции единоличного исполнительного органа;</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rsidRPr="00FB2707">
              <w:rPr>
                <w:rFonts w:ascii="Times New Roman" w:hAnsi="Times New Roman"/>
                <w:b/>
              </w:rPr>
              <w:t>, аудиторской организацией</w:t>
            </w:r>
            <w:r w:rsidRPr="00FB2707">
              <w:rPr>
                <w:rFonts w:ascii="Times New Roman" w:hAnsi="Times New Roman"/>
              </w:rPr>
              <w:t>, регистратором;</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в состав Фонда имущества у специализированного депозитария оценщика</w:t>
            </w:r>
            <w:r w:rsidRPr="00FB2707">
              <w:rPr>
                <w:rFonts w:ascii="Times New Roman" w:hAnsi="Times New Roman"/>
                <w:b/>
              </w:rPr>
              <w:t>, аудиторской организации</w:t>
            </w:r>
            <w:r w:rsidRPr="00FB2707">
              <w:rPr>
                <w:rFonts w:ascii="Times New Roman" w:hAnsi="Times New Roman"/>
              </w:rPr>
              <w:t>,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89 настоящих Правил, а также иных случаев, предусмотренных настоящими Правилами;</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840AD" w:rsidRPr="00B840AD" w:rsidRDefault="00FB2707" w:rsidP="00FB2707">
            <w:pPr>
              <w:spacing w:after="0" w:line="240" w:lineRule="auto"/>
              <w:jc w:val="both"/>
              <w:rPr>
                <w:rFonts w:ascii="Times New Roman" w:hAnsi="Times New Roman"/>
              </w:rPr>
            </w:pPr>
            <w:r w:rsidRPr="00FB2707">
              <w:rPr>
                <w:rFonts w:ascii="Times New Roman" w:hAnsi="Times New Roman"/>
              </w:rPr>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tc>
        <w:tc>
          <w:tcPr>
            <w:tcW w:w="4995" w:type="dxa"/>
          </w:tcPr>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lastRenderedPageBreak/>
              <w:t>30. Управляющая компания не вправе:</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 xml:space="preserve">1) распоряжаться имуществом, составляющим Фонд, без предварительного согласия специализированного депозитария, за </w:t>
            </w:r>
            <w:r w:rsidRPr="00FB2707">
              <w:rPr>
                <w:rFonts w:ascii="Times New Roman" w:hAnsi="Times New Roman"/>
              </w:rPr>
              <w:lastRenderedPageBreak/>
              <w:t>исключением сделок, совершаемых на организованных торгах, проводимых российской или иностранной биржей либо иным организатором торговли;</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2) распоряжаться денежными средствами, находящимися на транзитном счете, без предварительного согласия специализированного депозитария;</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FB2707">
              <w:rPr>
                <w:rFonts w:ascii="Times New Roman" w:hAnsi="Times New Roman"/>
              </w:rPr>
              <w:t>ств тр</w:t>
            </w:r>
            <w:proofErr w:type="gramEnd"/>
            <w:r w:rsidRPr="00FB2707">
              <w:rPr>
                <w:rFonts w:ascii="Times New Roman" w:hAnsi="Times New Roman"/>
              </w:rPr>
              <w:t>етьих лиц;</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5) совершать следующие сделки или давать поручения на совершение следующих сделок:</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безвозмездному отчуждению имущества, составляющего Фонд;</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FB2707">
              <w:rPr>
                <w:rFonts w:ascii="Times New Roman" w:hAnsi="Times New Roman"/>
              </w:rPr>
              <w:t>дств дл</w:t>
            </w:r>
            <w:proofErr w:type="gramEnd"/>
            <w:r w:rsidRPr="00FB2707">
              <w:rPr>
                <w:rFonts w:ascii="Times New Roman" w:hAnsi="Times New Roman"/>
              </w:rPr>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 xml:space="preserve">сделки </w:t>
            </w:r>
            <w:proofErr w:type="spellStart"/>
            <w:r w:rsidRPr="00FB2707">
              <w:rPr>
                <w:rFonts w:ascii="Times New Roman" w:hAnsi="Times New Roman"/>
              </w:rPr>
              <w:t>репо</w:t>
            </w:r>
            <w:proofErr w:type="spellEnd"/>
            <w:r w:rsidRPr="00FB2707">
              <w:rPr>
                <w:rFonts w:ascii="Times New Roman" w:hAnsi="Times New Roman"/>
              </w:rPr>
              <w:t>, подлежащие исполнению за счет имущества Фонда;</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w:t>
            </w:r>
            <w:r w:rsidRPr="00FB2707">
              <w:rPr>
                <w:rFonts w:ascii="Times New Roman" w:hAnsi="Times New Roman"/>
              </w:rPr>
              <w:lastRenderedPageBreak/>
              <w:t>акционерного инвестиционного фонда, в котором управляющая компания выполняет функции единоличного исполнительного органа;</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в состав Фонда имущества у специализированного депозитария оценщика,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89 настоящих Правил, а также иных случаев, предусмотренных настоящими Правилами;</w:t>
            </w:r>
          </w:p>
          <w:p w:rsidR="00FB2707" w:rsidRPr="00FB2707" w:rsidRDefault="00FB2707" w:rsidP="00FB2707">
            <w:pPr>
              <w:spacing w:after="0" w:line="240" w:lineRule="auto"/>
              <w:jc w:val="both"/>
              <w:rPr>
                <w:rFonts w:ascii="Times New Roman" w:hAnsi="Times New Roman"/>
              </w:rPr>
            </w:pPr>
            <w:r w:rsidRPr="00FB2707">
              <w:rPr>
                <w:rFonts w:ascii="Times New Roman" w:hAnsi="Times New Roman"/>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840AD" w:rsidRPr="00B840AD" w:rsidRDefault="00FB2707" w:rsidP="00FB2707">
            <w:pPr>
              <w:spacing w:after="0" w:line="240" w:lineRule="auto"/>
              <w:jc w:val="both"/>
              <w:rPr>
                <w:rFonts w:ascii="Times New Roman" w:hAnsi="Times New Roman"/>
              </w:rPr>
            </w:pPr>
            <w:r w:rsidRPr="00FB2707">
              <w:rPr>
                <w:rFonts w:ascii="Times New Roman" w:hAnsi="Times New Roman"/>
              </w:rPr>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tc>
      </w:tr>
    </w:tbl>
    <w:p w:rsidR="00B840AD" w:rsidRPr="00B840AD" w:rsidRDefault="00B840AD" w:rsidP="00FB2707">
      <w:pPr>
        <w:spacing w:after="0" w:line="240" w:lineRule="auto"/>
        <w:jc w:val="center"/>
        <w:rPr>
          <w:rFonts w:ascii="Times New Roman" w:hAnsi="Times New Roman"/>
          <w:sz w:val="24"/>
          <w:szCs w:val="24"/>
        </w:rPr>
      </w:pPr>
    </w:p>
    <w:p w:rsidR="00B840AD" w:rsidRPr="00B840AD" w:rsidRDefault="00B840AD"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п. </w:t>
      </w:r>
      <w:r w:rsidR="003C6AB8">
        <w:rPr>
          <w:rFonts w:ascii="Times New Roman" w:hAnsi="Times New Roman"/>
        </w:rPr>
        <w:t>39</w:t>
      </w:r>
      <w:r w:rsidRPr="00B840AD">
        <w:rPr>
          <w:rFonts w:ascii="Times New Roman" w:hAnsi="Times New Roman"/>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3C6AB8" w:rsidRPr="003C6AB8" w:rsidRDefault="003C6AB8" w:rsidP="003C6AB8">
            <w:pPr>
              <w:spacing w:after="0" w:line="240" w:lineRule="auto"/>
              <w:jc w:val="both"/>
              <w:rPr>
                <w:rFonts w:ascii="Times New Roman" w:hAnsi="Times New Roman"/>
              </w:rPr>
            </w:pPr>
            <w:r w:rsidRPr="003C6AB8">
              <w:rPr>
                <w:rFonts w:ascii="Times New Roman" w:hAnsi="Times New Roman"/>
              </w:rPr>
              <w:t xml:space="preserve">39. Инвестиционные паи свободно обращаются по завершении формирования Фонда. </w:t>
            </w:r>
          </w:p>
          <w:p w:rsidR="003C6AB8" w:rsidRPr="003C6AB8" w:rsidRDefault="003C6AB8" w:rsidP="003C6AB8">
            <w:pPr>
              <w:spacing w:after="0" w:line="240" w:lineRule="auto"/>
              <w:jc w:val="both"/>
              <w:rPr>
                <w:rFonts w:ascii="Times New Roman" w:hAnsi="Times New Roman"/>
              </w:rPr>
            </w:pPr>
            <w:r w:rsidRPr="003C6AB8">
              <w:rPr>
                <w:rFonts w:ascii="Times New Roman" w:hAnsi="Times New Roman"/>
              </w:rPr>
              <w:t>Инвестиционные паи могут обращаться на организованных торгах.</w:t>
            </w:r>
          </w:p>
          <w:p w:rsidR="00B840AD" w:rsidRPr="00B840AD" w:rsidRDefault="003C6AB8" w:rsidP="003C6AB8">
            <w:pPr>
              <w:spacing w:after="0" w:line="240" w:lineRule="auto"/>
              <w:jc w:val="both"/>
              <w:rPr>
                <w:rFonts w:ascii="Times New Roman" w:hAnsi="Times New Roman"/>
              </w:rPr>
            </w:pPr>
            <w:r w:rsidRPr="003C6AB8">
              <w:rPr>
                <w:rFonts w:ascii="Times New Roman" w:hAnsi="Times New Roman"/>
              </w:rPr>
              <w:t>Специализированный депозитарий, регистратор</w:t>
            </w:r>
            <w:r w:rsidRPr="003C6AB8">
              <w:rPr>
                <w:rFonts w:ascii="Times New Roman" w:hAnsi="Times New Roman"/>
                <w:b/>
              </w:rPr>
              <w:t>, аудиторская организация</w:t>
            </w:r>
            <w:r w:rsidRPr="003C6AB8">
              <w:rPr>
                <w:rFonts w:ascii="Times New Roman" w:hAnsi="Times New Roman"/>
              </w:rPr>
              <w:t xml:space="preserve"> и оценщик, с которыми заключены соответствующие договоры в отношении Фонда, не могут являться владельцами инвестиционных паев.</w:t>
            </w:r>
          </w:p>
        </w:tc>
        <w:tc>
          <w:tcPr>
            <w:tcW w:w="4995" w:type="dxa"/>
          </w:tcPr>
          <w:p w:rsidR="003C6AB8" w:rsidRPr="003C6AB8" w:rsidRDefault="003C6AB8" w:rsidP="003C6AB8">
            <w:pPr>
              <w:spacing w:after="0" w:line="240" w:lineRule="auto"/>
              <w:jc w:val="both"/>
              <w:rPr>
                <w:rFonts w:ascii="Times New Roman" w:hAnsi="Times New Roman"/>
              </w:rPr>
            </w:pPr>
            <w:r w:rsidRPr="003C6AB8">
              <w:rPr>
                <w:rFonts w:ascii="Times New Roman" w:hAnsi="Times New Roman"/>
              </w:rPr>
              <w:t xml:space="preserve">39. Инвестиционные паи свободно обращаются по завершении формирования Фонда. </w:t>
            </w:r>
          </w:p>
          <w:p w:rsidR="003C6AB8" w:rsidRPr="003C6AB8" w:rsidRDefault="003C6AB8" w:rsidP="003C6AB8">
            <w:pPr>
              <w:spacing w:after="0" w:line="240" w:lineRule="auto"/>
              <w:jc w:val="both"/>
              <w:rPr>
                <w:rFonts w:ascii="Times New Roman" w:hAnsi="Times New Roman"/>
              </w:rPr>
            </w:pPr>
            <w:r w:rsidRPr="003C6AB8">
              <w:rPr>
                <w:rFonts w:ascii="Times New Roman" w:hAnsi="Times New Roman"/>
              </w:rPr>
              <w:t>Инвестиционные паи могут обращаться на организованных торгах.</w:t>
            </w:r>
          </w:p>
          <w:p w:rsidR="00B840AD" w:rsidRPr="00B840AD" w:rsidRDefault="003C6AB8" w:rsidP="003C6AB8">
            <w:pPr>
              <w:spacing w:after="0" w:line="240" w:lineRule="auto"/>
              <w:jc w:val="both"/>
              <w:rPr>
                <w:rFonts w:ascii="Times New Roman" w:hAnsi="Times New Roman"/>
              </w:rPr>
            </w:pPr>
            <w:r w:rsidRPr="003C6AB8">
              <w:rPr>
                <w:rFonts w:ascii="Times New Roman" w:hAnsi="Times New Roman"/>
              </w:rPr>
              <w:t>Специализиров</w:t>
            </w:r>
            <w:r>
              <w:rPr>
                <w:rFonts w:ascii="Times New Roman" w:hAnsi="Times New Roman"/>
              </w:rPr>
              <w:t xml:space="preserve">анный депозитарий, регистратор </w:t>
            </w:r>
            <w:r w:rsidRPr="003C6AB8">
              <w:rPr>
                <w:rFonts w:ascii="Times New Roman" w:hAnsi="Times New Roman"/>
              </w:rPr>
              <w:t>и оценщик, с которыми заключены соответствующие договоры в отношении Фонда, не могут являться владельцами инвестиционных паев.</w:t>
            </w:r>
          </w:p>
        </w:tc>
      </w:tr>
    </w:tbl>
    <w:p w:rsidR="00B840AD" w:rsidRPr="00B840AD" w:rsidRDefault="00B840AD" w:rsidP="00FB2707">
      <w:pPr>
        <w:spacing w:after="0" w:line="240" w:lineRule="auto"/>
        <w:jc w:val="center"/>
        <w:rPr>
          <w:rFonts w:ascii="Times New Roman" w:hAnsi="Times New Roman"/>
          <w:sz w:val="24"/>
          <w:szCs w:val="24"/>
        </w:rPr>
      </w:pPr>
    </w:p>
    <w:p w:rsidR="00B840AD" w:rsidRPr="00B840AD" w:rsidRDefault="00B840AD"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п. </w:t>
      </w:r>
      <w:r w:rsidR="00E74597">
        <w:rPr>
          <w:rFonts w:ascii="Times New Roman" w:hAnsi="Times New Roman"/>
        </w:rPr>
        <w:t>86</w:t>
      </w:r>
      <w:r w:rsidRPr="00B840AD">
        <w:rPr>
          <w:rFonts w:ascii="Times New Roman" w:hAnsi="Times New Roman"/>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lastRenderedPageBreak/>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B840AD" w:rsidRPr="00B840AD" w:rsidRDefault="00E74597" w:rsidP="00FB2707">
            <w:pPr>
              <w:spacing w:after="0" w:line="240" w:lineRule="auto"/>
              <w:jc w:val="both"/>
              <w:rPr>
                <w:rFonts w:ascii="Times New Roman" w:hAnsi="Times New Roman"/>
              </w:rPr>
            </w:pPr>
            <w:r w:rsidRPr="00E74597">
              <w:rPr>
                <w:rFonts w:ascii="Times New Roman" w:hAnsi="Times New Roman"/>
              </w:rPr>
              <w:t xml:space="preserve">86. </w:t>
            </w:r>
            <w:proofErr w:type="gramStart"/>
            <w:r w:rsidRPr="00E74597">
              <w:rPr>
                <w:rFonts w:ascii="Times New Roman" w:hAnsi="Times New Roman"/>
              </w:rPr>
              <w:t>За счет имущества, составляющего Фонд, выплачиваются вознаграждения управляющей компании в размере не более 1,2 (Одна целая две десятых) процента (налогом на добавленную стоимость не облагается) среднегодовой стоимости чистых активов Фонда, а также специализированному депозитарию, регистратору</w:t>
            </w:r>
            <w:r w:rsidRPr="00E74597">
              <w:rPr>
                <w:rFonts w:ascii="Times New Roman" w:hAnsi="Times New Roman"/>
                <w:b/>
              </w:rPr>
              <w:t>, аудиторской организации</w:t>
            </w:r>
            <w:r w:rsidRPr="00E74597">
              <w:rPr>
                <w:rFonts w:ascii="Times New Roman" w:hAnsi="Times New Roman"/>
              </w:rPr>
              <w:t xml:space="preserve"> и оценщику в размере не более 0,4 (Ноль целых четыре десятых) процента (с учетом налога на добавленную стоимость) среднегодовой стоимости чистых активов Фонда.</w:t>
            </w:r>
            <w:proofErr w:type="gramEnd"/>
          </w:p>
        </w:tc>
        <w:tc>
          <w:tcPr>
            <w:tcW w:w="4995" w:type="dxa"/>
          </w:tcPr>
          <w:p w:rsidR="00B840AD" w:rsidRPr="00B840AD" w:rsidRDefault="00E74597" w:rsidP="008937C3">
            <w:pPr>
              <w:spacing w:after="0" w:line="240" w:lineRule="auto"/>
              <w:jc w:val="both"/>
              <w:rPr>
                <w:rFonts w:ascii="Times New Roman" w:hAnsi="Times New Roman"/>
              </w:rPr>
            </w:pPr>
            <w:r w:rsidRPr="00E74597">
              <w:rPr>
                <w:rFonts w:ascii="Times New Roman" w:hAnsi="Times New Roman"/>
              </w:rPr>
              <w:t xml:space="preserve">86. </w:t>
            </w:r>
            <w:proofErr w:type="gramStart"/>
            <w:r w:rsidRPr="00E74597">
              <w:rPr>
                <w:rFonts w:ascii="Times New Roman" w:hAnsi="Times New Roman"/>
              </w:rPr>
              <w:t>За счет имущества, составляющего Фонд, выплачиваются вознаграждения управляющей компании в размере не более 1,2 (Одна целая две десятых) процента (налогом на добавленную стоимость не облагается) среднегодовой стоимости чистых активов Фонда, а также специализированному депозитарию, регистратору и оценщику в размере не более 0,4 (Ноль целых четыре десятых) процента (с учетом налога на добавленную стоимость) среднегодовой стоимости чистых активов Фонда.</w:t>
            </w:r>
            <w:proofErr w:type="gramEnd"/>
          </w:p>
        </w:tc>
      </w:tr>
    </w:tbl>
    <w:p w:rsidR="00B840AD" w:rsidRPr="00B840AD" w:rsidRDefault="00B840AD" w:rsidP="00FB2707">
      <w:pPr>
        <w:spacing w:after="0" w:line="240" w:lineRule="auto"/>
        <w:jc w:val="center"/>
        <w:rPr>
          <w:rFonts w:ascii="Times New Roman" w:hAnsi="Times New Roman"/>
          <w:sz w:val="24"/>
          <w:szCs w:val="24"/>
        </w:rPr>
      </w:pPr>
    </w:p>
    <w:p w:rsidR="00B840AD" w:rsidRPr="00B840AD" w:rsidRDefault="00B840AD"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п. </w:t>
      </w:r>
      <w:r w:rsidR="00DE15AC">
        <w:rPr>
          <w:rFonts w:ascii="Times New Roman" w:hAnsi="Times New Roman"/>
        </w:rPr>
        <w:t>88</w:t>
      </w:r>
      <w:r w:rsidRPr="00B840AD">
        <w:rPr>
          <w:rFonts w:ascii="Times New Roman" w:hAnsi="Times New Roman"/>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B840AD" w:rsidRPr="00B840AD" w:rsidRDefault="00DE15AC" w:rsidP="00FB2707">
            <w:pPr>
              <w:spacing w:after="0" w:line="240" w:lineRule="auto"/>
              <w:jc w:val="both"/>
              <w:rPr>
                <w:rFonts w:ascii="Times New Roman" w:hAnsi="Times New Roman"/>
              </w:rPr>
            </w:pPr>
            <w:r w:rsidRPr="00DE15AC">
              <w:rPr>
                <w:rFonts w:ascii="Times New Roman" w:hAnsi="Times New Roman"/>
              </w:rPr>
              <w:t>88. Вознаграждение специализированному депозитарию, регистратору</w:t>
            </w:r>
            <w:r w:rsidRPr="00DE15AC">
              <w:rPr>
                <w:rFonts w:ascii="Times New Roman" w:hAnsi="Times New Roman"/>
                <w:b/>
              </w:rPr>
              <w:t>, аудиторской организации</w:t>
            </w:r>
            <w:r w:rsidRPr="00DE15AC">
              <w:rPr>
                <w:rFonts w:ascii="Times New Roman" w:hAnsi="Times New Roman"/>
              </w:rPr>
              <w:t xml:space="preserve"> и оценщику выплачивается в срок, предусмотренный в договорах указанных лиц с управляющей компанией.</w:t>
            </w:r>
          </w:p>
        </w:tc>
        <w:tc>
          <w:tcPr>
            <w:tcW w:w="4995" w:type="dxa"/>
          </w:tcPr>
          <w:p w:rsidR="00B840AD" w:rsidRPr="00B840AD" w:rsidRDefault="00DE15AC" w:rsidP="00DE15AC">
            <w:pPr>
              <w:spacing w:after="0" w:line="240" w:lineRule="auto"/>
              <w:jc w:val="both"/>
              <w:rPr>
                <w:rFonts w:ascii="Times New Roman" w:hAnsi="Times New Roman"/>
              </w:rPr>
            </w:pPr>
            <w:r w:rsidRPr="00DE15AC">
              <w:rPr>
                <w:rFonts w:ascii="Times New Roman" w:hAnsi="Times New Roman"/>
              </w:rPr>
              <w:t>88. Вознаграждение специализированному депозитарию, регистратору и оценщику выплачивается в срок, предусмотренный в договорах указанных лиц с управляющей компанией.</w:t>
            </w:r>
          </w:p>
        </w:tc>
      </w:tr>
    </w:tbl>
    <w:p w:rsidR="00B840AD" w:rsidRPr="00B840AD" w:rsidRDefault="00B840AD" w:rsidP="00FB2707">
      <w:pPr>
        <w:spacing w:after="0" w:line="240" w:lineRule="auto"/>
        <w:jc w:val="center"/>
        <w:rPr>
          <w:rFonts w:ascii="Times New Roman" w:hAnsi="Times New Roman"/>
          <w:sz w:val="24"/>
          <w:szCs w:val="24"/>
        </w:rPr>
      </w:pPr>
    </w:p>
    <w:p w:rsidR="00B840AD" w:rsidRPr="00B840AD" w:rsidRDefault="00B840AD"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п. </w:t>
      </w:r>
      <w:r w:rsidR="00DE15AC">
        <w:rPr>
          <w:rFonts w:ascii="Times New Roman" w:hAnsi="Times New Roman"/>
        </w:rPr>
        <w:t>105</w:t>
      </w:r>
      <w:r w:rsidRPr="00B840AD">
        <w:rPr>
          <w:rFonts w:ascii="Times New Roman" w:hAnsi="Times New Roman"/>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DE15AC" w:rsidRPr="00DE15AC" w:rsidRDefault="00DE15AC" w:rsidP="00DE15AC">
            <w:pPr>
              <w:spacing w:after="0" w:line="240" w:lineRule="auto"/>
              <w:jc w:val="both"/>
              <w:rPr>
                <w:rFonts w:ascii="Times New Roman" w:hAnsi="Times New Roman"/>
              </w:rPr>
            </w:pPr>
            <w:r w:rsidRPr="00DE15AC">
              <w:rPr>
                <w:rFonts w:ascii="Times New Roman" w:hAnsi="Times New Roman"/>
              </w:rPr>
              <w:t>105.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DE15AC" w:rsidRPr="00DE15AC" w:rsidRDefault="00DE15AC" w:rsidP="00DE15AC">
            <w:pPr>
              <w:spacing w:after="0" w:line="240" w:lineRule="auto"/>
              <w:jc w:val="both"/>
              <w:rPr>
                <w:rFonts w:ascii="Times New Roman" w:hAnsi="Times New Roman"/>
              </w:rPr>
            </w:pPr>
            <w:r w:rsidRPr="00DE15AC">
              <w:rPr>
                <w:rFonts w:ascii="Times New Roman" w:hAnsi="Times New Roman"/>
              </w:rPr>
              <w:t>•</w:t>
            </w:r>
            <w:r w:rsidRPr="00DE15AC">
              <w:rPr>
                <w:rFonts w:ascii="Times New Roman" w:hAnsi="Times New Roman"/>
              </w:rPr>
              <w:tab/>
              <w:t>размера задолженности перед кредиторами, требования которых должны удовлетворяться за счет имущества, составляющего Фонд;</w:t>
            </w:r>
          </w:p>
          <w:p w:rsidR="00DE15AC" w:rsidRPr="00DE15AC" w:rsidRDefault="00DE15AC" w:rsidP="00DE15AC">
            <w:pPr>
              <w:spacing w:after="0" w:line="240" w:lineRule="auto"/>
              <w:jc w:val="both"/>
              <w:rPr>
                <w:rFonts w:ascii="Times New Roman" w:hAnsi="Times New Roman"/>
              </w:rPr>
            </w:pPr>
            <w:r w:rsidRPr="00DE15AC">
              <w:rPr>
                <w:rFonts w:ascii="Times New Roman" w:hAnsi="Times New Roman"/>
              </w:rPr>
              <w:t>•</w:t>
            </w:r>
            <w:r w:rsidRPr="00DE15AC">
              <w:rPr>
                <w:rFonts w:ascii="Times New Roman" w:hAnsi="Times New Roman"/>
              </w:rPr>
              <w:tab/>
              <w:t xml:space="preserve"> размера вознаграждений управляющей компании, специализированного депозитария, регистратора</w:t>
            </w:r>
            <w:r w:rsidRPr="00DE15AC">
              <w:rPr>
                <w:rFonts w:ascii="Times New Roman" w:hAnsi="Times New Roman"/>
                <w:b/>
              </w:rPr>
              <w:t>, аудиторской организации</w:t>
            </w:r>
            <w:r w:rsidRPr="00DE15AC">
              <w:rPr>
                <w:rFonts w:ascii="Times New Roman" w:hAnsi="Times New Roman"/>
              </w:rPr>
              <w:t xml:space="preserve"> и оценщика, начисленных им на день возникновения основания прекращения Фонда;</w:t>
            </w:r>
          </w:p>
          <w:p w:rsidR="00B840AD" w:rsidRPr="00B840AD" w:rsidRDefault="00DE15AC" w:rsidP="00DE15AC">
            <w:pPr>
              <w:spacing w:after="0" w:line="240" w:lineRule="auto"/>
              <w:jc w:val="both"/>
              <w:rPr>
                <w:rFonts w:ascii="Times New Roman" w:hAnsi="Times New Roman"/>
              </w:rPr>
            </w:pPr>
            <w:r w:rsidRPr="00DE15AC">
              <w:rPr>
                <w:rFonts w:ascii="Times New Roman" w:hAnsi="Times New Roman"/>
              </w:rPr>
              <w:t>•</w:t>
            </w:r>
            <w:r w:rsidRPr="00DE15AC">
              <w:rPr>
                <w:rFonts w:ascii="Times New Roman" w:hAnsi="Times New Roman"/>
              </w:rPr>
              <w:tab/>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995" w:type="dxa"/>
          </w:tcPr>
          <w:p w:rsidR="00DE15AC" w:rsidRPr="00DE15AC" w:rsidRDefault="00DE15AC" w:rsidP="00DE15AC">
            <w:pPr>
              <w:spacing w:after="0" w:line="240" w:lineRule="auto"/>
              <w:jc w:val="both"/>
              <w:rPr>
                <w:rFonts w:ascii="Times New Roman" w:hAnsi="Times New Roman"/>
              </w:rPr>
            </w:pPr>
            <w:r w:rsidRPr="00DE15AC">
              <w:rPr>
                <w:rFonts w:ascii="Times New Roman" w:hAnsi="Times New Roman"/>
              </w:rPr>
              <w:t>105.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DE15AC" w:rsidRPr="00DE15AC" w:rsidRDefault="00DE15AC" w:rsidP="00DE15AC">
            <w:pPr>
              <w:spacing w:after="0" w:line="240" w:lineRule="auto"/>
              <w:jc w:val="both"/>
              <w:rPr>
                <w:rFonts w:ascii="Times New Roman" w:hAnsi="Times New Roman"/>
              </w:rPr>
            </w:pPr>
            <w:r w:rsidRPr="00DE15AC">
              <w:rPr>
                <w:rFonts w:ascii="Times New Roman" w:hAnsi="Times New Roman"/>
              </w:rPr>
              <w:t>•</w:t>
            </w:r>
            <w:r w:rsidRPr="00DE15AC">
              <w:rPr>
                <w:rFonts w:ascii="Times New Roman" w:hAnsi="Times New Roman"/>
              </w:rPr>
              <w:tab/>
              <w:t>размера задолженности перед кредиторами, требования которых должны удовлетворяться за счет имущества, составляющего Фонд;</w:t>
            </w:r>
          </w:p>
          <w:p w:rsidR="00DE15AC" w:rsidRPr="00DE15AC" w:rsidRDefault="00DE15AC" w:rsidP="00DE15AC">
            <w:pPr>
              <w:spacing w:after="0" w:line="240" w:lineRule="auto"/>
              <w:jc w:val="both"/>
              <w:rPr>
                <w:rFonts w:ascii="Times New Roman" w:hAnsi="Times New Roman"/>
              </w:rPr>
            </w:pPr>
            <w:r w:rsidRPr="00DE15AC">
              <w:rPr>
                <w:rFonts w:ascii="Times New Roman" w:hAnsi="Times New Roman"/>
              </w:rPr>
              <w:t>•</w:t>
            </w:r>
            <w:r w:rsidRPr="00DE15AC">
              <w:rPr>
                <w:rFonts w:ascii="Times New Roman" w:hAnsi="Times New Roman"/>
              </w:rPr>
              <w:tab/>
              <w:t xml:space="preserve"> размера вознаграждений управляющей компании, специализированного депозитария, регистратора и оценщика, начисленных им на день возникновения основания прекращения Фонда;</w:t>
            </w:r>
          </w:p>
          <w:p w:rsidR="00B840AD" w:rsidRPr="00B840AD" w:rsidRDefault="00DE15AC" w:rsidP="00DE15AC">
            <w:pPr>
              <w:spacing w:after="0" w:line="240" w:lineRule="auto"/>
              <w:jc w:val="both"/>
              <w:rPr>
                <w:rFonts w:ascii="Times New Roman" w:hAnsi="Times New Roman"/>
              </w:rPr>
            </w:pPr>
            <w:r w:rsidRPr="00DE15AC">
              <w:rPr>
                <w:rFonts w:ascii="Times New Roman" w:hAnsi="Times New Roman"/>
              </w:rPr>
              <w:t>•</w:t>
            </w:r>
            <w:r w:rsidRPr="00DE15AC">
              <w:rPr>
                <w:rFonts w:ascii="Times New Roman" w:hAnsi="Times New Roman"/>
              </w:rPr>
              <w:tab/>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bl>
    <w:p w:rsidR="00B840AD" w:rsidRPr="00B840AD" w:rsidRDefault="00B840AD" w:rsidP="00FB2707">
      <w:pPr>
        <w:spacing w:after="0" w:line="240" w:lineRule="auto"/>
        <w:jc w:val="center"/>
        <w:rPr>
          <w:rFonts w:ascii="Times New Roman" w:hAnsi="Times New Roman"/>
          <w:sz w:val="24"/>
          <w:szCs w:val="24"/>
        </w:rPr>
      </w:pPr>
    </w:p>
    <w:p w:rsidR="00B840AD" w:rsidRPr="00B840AD" w:rsidRDefault="00B840AD"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п. </w:t>
      </w:r>
      <w:r w:rsidR="00316412">
        <w:rPr>
          <w:rFonts w:ascii="Times New Roman" w:hAnsi="Times New Roman"/>
        </w:rPr>
        <w:t>110</w:t>
      </w:r>
      <w:r w:rsidRPr="00B840AD">
        <w:rPr>
          <w:rFonts w:ascii="Times New Roman" w:hAnsi="Times New Roman"/>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110. 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1) с изменением инвестиционной декларации Фонда;</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 xml:space="preserve">2) с увеличением размера вознаграждения управляющей компании, специализированного </w:t>
            </w:r>
            <w:r w:rsidRPr="00316412">
              <w:rPr>
                <w:rFonts w:ascii="Times New Roman" w:hAnsi="Times New Roman"/>
              </w:rPr>
              <w:lastRenderedPageBreak/>
              <w:t>депозитария, регистратора</w:t>
            </w:r>
            <w:r w:rsidRPr="00316412">
              <w:rPr>
                <w:rFonts w:ascii="Times New Roman" w:hAnsi="Times New Roman"/>
                <w:b/>
              </w:rPr>
              <w:t>, аудиторской организации</w:t>
            </w:r>
            <w:r w:rsidRPr="00316412">
              <w:rPr>
                <w:rFonts w:ascii="Times New Roman" w:hAnsi="Times New Roman"/>
              </w:rPr>
              <w:t xml:space="preserve"> и оценщика;</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3) с увеличением расходов и (или) расширением перечня расходов, подлежащих оплате за счет имущества, составляющего Фонд;</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4) с введением скидок в связи с погашением инвестиционных паев или увеличением их размеров;</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5) с изменением типа Фонда;</w:t>
            </w:r>
          </w:p>
          <w:p w:rsidR="00B840AD" w:rsidRPr="00B840AD" w:rsidRDefault="00316412" w:rsidP="00316412">
            <w:pPr>
              <w:spacing w:after="0" w:line="240" w:lineRule="auto"/>
              <w:jc w:val="both"/>
              <w:rPr>
                <w:rFonts w:ascii="Times New Roman" w:hAnsi="Times New Roman"/>
              </w:rPr>
            </w:pPr>
            <w:r w:rsidRPr="00316412">
              <w:rPr>
                <w:rFonts w:ascii="Times New Roman" w:hAnsi="Times New Roman"/>
              </w:rPr>
              <w:t>6) с иными изменениями, предусмотренными нормативными актами в сфере финансовых рынков.</w:t>
            </w:r>
          </w:p>
        </w:tc>
        <w:tc>
          <w:tcPr>
            <w:tcW w:w="4995" w:type="dxa"/>
          </w:tcPr>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lastRenderedPageBreak/>
              <w:t>110. 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1) с изменением инвестиционной декларации Фонда;</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 xml:space="preserve">2) с увеличением размера вознаграждения управляющей компании, специализированного </w:t>
            </w:r>
            <w:r w:rsidRPr="00316412">
              <w:rPr>
                <w:rFonts w:ascii="Times New Roman" w:hAnsi="Times New Roman"/>
              </w:rPr>
              <w:lastRenderedPageBreak/>
              <w:t>депозитария, регистратора и оценщика;</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3) с увеличением расходов и (или) расширением перечня расходов, подлежащих оплате за счет имущества, составляющего Фонд;</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4) с введением скидок в связи с погашением инвестиционных паев или увеличением их размеров;</w:t>
            </w:r>
          </w:p>
          <w:p w:rsidR="00316412" w:rsidRPr="00316412" w:rsidRDefault="00316412" w:rsidP="00316412">
            <w:pPr>
              <w:spacing w:after="0" w:line="240" w:lineRule="auto"/>
              <w:jc w:val="both"/>
              <w:rPr>
                <w:rFonts w:ascii="Times New Roman" w:hAnsi="Times New Roman"/>
              </w:rPr>
            </w:pPr>
            <w:r w:rsidRPr="00316412">
              <w:rPr>
                <w:rFonts w:ascii="Times New Roman" w:hAnsi="Times New Roman"/>
              </w:rPr>
              <w:t>5) с изменением типа Фонда;</w:t>
            </w:r>
          </w:p>
          <w:p w:rsidR="00B840AD" w:rsidRPr="00B840AD" w:rsidRDefault="00316412" w:rsidP="00316412">
            <w:pPr>
              <w:spacing w:after="0" w:line="240" w:lineRule="auto"/>
              <w:jc w:val="both"/>
              <w:rPr>
                <w:rFonts w:ascii="Times New Roman" w:hAnsi="Times New Roman"/>
              </w:rPr>
            </w:pPr>
            <w:r w:rsidRPr="00316412">
              <w:rPr>
                <w:rFonts w:ascii="Times New Roman" w:hAnsi="Times New Roman"/>
              </w:rPr>
              <w:t>6) с иными изменениями, предусмотренными нормативными актами в сфере финансовых рынков.</w:t>
            </w:r>
          </w:p>
        </w:tc>
      </w:tr>
    </w:tbl>
    <w:p w:rsidR="00B840AD" w:rsidRPr="00B840AD" w:rsidRDefault="00B840AD" w:rsidP="00FB2707">
      <w:pPr>
        <w:spacing w:after="0" w:line="240" w:lineRule="auto"/>
        <w:jc w:val="center"/>
        <w:rPr>
          <w:rFonts w:ascii="Times New Roman" w:hAnsi="Times New Roman"/>
          <w:sz w:val="24"/>
          <w:szCs w:val="24"/>
        </w:rPr>
      </w:pPr>
    </w:p>
    <w:p w:rsidR="00B840AD" w:rsidRPr="00B840AD" w:rsidRDefault="00B840AD"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п. </w:t>
      </w:r>
      <w:r w:rsidR="00745690">
        <w:rPr>
          <w:rFonts w:ascii="Times New Roman" w:hAnsi="Times New Roman"/>
        </w:rPr>
        <w:t>111</w:t>
      </w:r>
      <w:r w:rsidRPr="00B840AD">
        <w:rPr>
          <w:rFonts w:ascii="Times New Roman" w:hAnsi="Times New Roman"/>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745690" w:rsidRPr="00745690" w:rsidRDefault="00745690" w:rsidP="00745690">
            <w:pPr>
              <w:spacing w:after="0" w:line="240" w:lineRule="auto"/>
              <w:jc w:val="both"/>
              <w:rPr>
                <w:rFonts w:ascii="Times New Roman" w:hAnsi="Times New Roman"/>
              </w:rPr>
            </w:pPr>
            <w:r w:rsidRPr="00745690">
              <w:rPr>
                <w:rFonts w:ascii="Times New Roman" w:hAnsi="Times New Roman"/>
              </w:rPr>
              <w:t>111. Изменения, которые вносятся в настоящие Правила, вступают в силу со дня их регистрации Банком России, если они касаются:</w:t>
            </w:r>
          </w:p>
          <w:p w:rsidR="00745690" w:rsidRPr="00745690" w:rsidRDefault="00745690" w:rsidP="00745690">
            <w:pPr>
              <w:spacing w:after="0" w:line="240" w:lineRule="auto"/>
              <w:jc w:val="both"/>
              <w:rPr>
                <w:rFonts w:ascii="Times New Roman" w:hAnsi="Times New Roman"/>
              </w:rPr>
            </w:pPr>
            <w:r w:rsidRPr="00745690">
              <w:rPr>
                <w:rFonts w:ascii="Times New Roman" w:hAnsi="Times New Roman"/>
              </w:rPr>
              <w:t>1) изменения наименований управляющей компании, специализированного депозитария, регистратора</w:t>
            </w:r>
            <w:r w:rsidRPr="00745690">
              <w:rPr>
                <w:rFonts w:ascii="Times New Roman" w:hAnsi="Times New Roman"/>
                <w:b/>
              </w:rPr>
              <w:t>, аудиторской организации</w:t>
            </w:r>
            <w:r w:rsidRPr="00745690">
              <w:rPr>
                <w:rFonts w:ascii="Times New Roman" w:hAnsi="Times New Roman"/>
              </w:rPr>
              <w:t xml:space="preserve"> и оценщика, а также иных сведений об указанных лицах;</w:t>
            </w:r>
          </w:p>
          <w:p w:rsidR="00745690" w:rsidRPr="00745690" w:rsidRDefault="00745690" w:rsidP="00745690">
            <w:pPr>
              <w:spacing w:after="0" w:line="240" w:lineRule="auto"/>
              <w:jc w:val="both"/>
              <w:rPr>
                <w:rFonts w:ascii="Times New Roman" w:hAnsi="Times New Roman"/>
              </w:rPr>
            </w:pPr>
            <w:r w:rsidRPr="00745690">
              <w:rPr>
                <w:rFonts w:ascii="Times New Roman" w:hAnsi="Times New Roman"/>
              </w:rPr>
              <w:t>2) уменьшения размера вознаграждения управляющей компании, специализированного депозитария, регистратора</w:t>
            </w:r>
            <w:r w:rsidRPr="00745690">
              <w:rPr>
                <w:rFonts w:ascii="Times New Roman" w:hAnsi="Times New Roman"/>
                <w:b/>
              </w:rPr>
              <w:t>, аудиторской организации</w:t>
            </w:r>
            <w:r w:rsidRPr="00745690">
              <w:rPr>
                <w:rFonts w:ascii="Times New Roman" w:hAnsi="Times New Roman"/>
              </w:rPr>
              <w:t xml:space="preserve"> и оценщика, а также уменьшения размера и (или) сокращения перечня расходов, подлежащих оплате за счет имущества, составляющего Фонд;</w:t>
            </w:r>
          </w:p>
          <w:p w:rsidR="00745690" w:rsidRPr="00745690" w:rsidRDefault="00745690" w:rsidP="00745690">
            <w:pPr>
              <w:spacing w:after="0" w:line="240" w:lineRule="auto"/>
              <w:jc w:val="both"/>
              <w:rPr>
                <w:rFonts w:ascii="Times New Roman" w:hAnsi="Times New Roman"/>
              </w:rPr>
            </w:pPr>
            <w:r w:rsidRPr="00745690">
              <w:rPr>
                <w:rFonts w:ascii="Times New Roman" w:hAnsi="Times New Roman"/>
              </w:rPr>
              <w:t>3) отмены скидок (надбавок) или уменьшения их размеров;</w:t>
            </w:r>
          </w:p>
          <w:p w:rsidR="00B840AD" w:rsidRPr="00B840AD" w:rsidRDefault="00745690" w:rsidP="00745690">
            <w:pPr>
              <w:spacing w:after="0" w:line="240" w:lineRule="auto"/>
              <w:jc w:val="both"/>
              <w:rPr>
                <w:rFonts w:ascii="Times New Roman" w:hAnsi="Times New Roman"/>
              </w:rPr>
            </w:pPr>
            <w:r w:rsidRPr="00745690">
              <w:rPr>
                <w:rFonts w:ascii="Times New Roman" w:hAnsi="Times New Roman"/>
              </w:rPr>
              <w:t>4) иных положений, предусмотренных нормативными актами в сфере финансовых рынков.</w:t>
            </w:r>
          </w:p>
        </w:tc>
        <w:tc>
          <w:tcPr>
            <w:tcW w:w="4995" w:type="dxa"/>
          </w:tcPr>
          <w:p w:rsidR="00745690" w:rsidRPr="00745690" w:rsidRDefault="00745690" w:rsidP="00745690">
            <w:pPr>
              <w:spacing w:after="0" w:line="240" w:lineRule="auto"/>
              <w:jc w:val="both"/>
              <w:rPr>
                <w:rFonts w:ascii="Times New Roman" w:hAnsi="Times New Roman"/>
              </w:rPr>
            </w:pPr>
            <w:r w:rsidRPr="00745690">
              <w:rPr>
                <w:rFonts w:ascii="Times New Roman" w:hAnsi="Times New Roman"/>
              </w:rPr>
              <w:t>111. Изменения, которые вносятся в настоящие Правила, вступают в силу со дня их регистрации Банком России, если они касаются:</w:t>
            </w:r>
          </w:p>
          <w:p w:rsidR="00745690" w:rsidRPr="00745690" w:rsidRDefault="00745690" w:rsidP="00745690">
            <w:pPr>
              <w:spacing w:after="0" w:line="240" w:lineRule="auto"/>
              <w:jc w:val="both"/>
              <w:rPr>
                <w:rFonts w:ascii="Times New Roman" w:hAnsi="Times New Roman"/>
              </w:rPr>
            </w:pPr>
            <w:r w:rsidRPr="00745690">
              <w:rPr>
                <w:rFonts w:ascii="Times New Roman" w:hAnsi="Times New Roman"/>
              </w:rPr>
              <w:t>1) изменения наименований управляющей компании, специализированного депозитария, регистратора и оценщика, а также иных сведений об указанных лицах;</w:t>
            </w:r>
          </w:p>
          <w:p w:rsidR="00745690" w:rsidRPr="00745690" w:rsidRDefault="00745690" w:rsidP="00745690">
            <w:pPr>
              <w:spacing w:after="0" w:line="240" w:lineRule="auto"/>
              <w:jc w:val="both"/>
              <w:rPr>
                <w:rFonts w:ascii="Times New Roman" w:hAnsi="Times New Roman"/>
              </w:rPr>
            </w:pPr>
            <w:r w:rsidRPr="00745690">
              <w:rPr>
                <w:rFonts w:ascii="Times New Roman" w:hAnsi="Times New Roman"/>
              </w:rPr>
              <w:t>2) уменьшения размера вознаграждения управляющей компании, специализированного депозитария, регистратора и оценщика, а также уменьшения размера и (или) сокращения перечня расходов, подлежащих оплате за счет имущества, составляющего Фонд;</w:t>
            </w:r>
          </w:p>
          <w:p w:rsidR="00745690" w:rsidRPr="00745690" w:rsidRDefault="00745690" w:rsidP="00745690">
            <w:pPr>
              <w:spacing w:after="0" w:line="240" w:lineRule="auto"/>
              <w:jc w:val="both"/>
              <w:rPr>
                <w:rFonts w:ascii="Times New Roman" w:hAnsi="Times New Roman"/>
              </w:rPr>
            </w:pPr>
            <w:r w:rsidRPr="00745690">
              <w:rPr>
                <w:rFonts w:ascii="Times New Roman" w:hAnsi="Times New Roman"/>
              </w:rPr>
              <w:t>3) отмены скидок (надбавок) или уменьшения их размеров;</w:t>
            </w:r>
          </w:p>
          <w:p w:rsidR="00B840AD" w:rsidRPr="00B840AD" w:rsidRDefault="00745690" w:rsidP="00745690">
            <w:pPr>
              <w:spacing w:after="0" w:line="240" w:lineRule="auto"/>
              <w:jc w:val="both"/>
              <w:rPr>
                <w:rFonts w:ascii="Times New Roman" w:hAnsi="Times New Roman"/>
              </w:rPr>
            </w:pPr>
            <w:r w:rsidRPr="00745690">
              <w:rPr>
                <w:rFonts w:ascii="Times New Roman" w:hAnsi="Times New Roman"/>
              </w:rPr>
              <w:t>4) иных положений, предусмотренных нормативными актами в сфере финансовых рынков.</w:t>
            </w:r>
          </w:p>
        </w:tc>
      </w:tr>
    </w:tbl>
    <w:p w:rsidR="00B840AD" w:rsidRPr="00B840AD" w:rsidRDefault="00B840AD" w:rsidP="00FB2707">
      <w:pPr>
        <w:spacing w:after="0" w:line="240" w:lineRule="auto"/>
        <w:jc w:val="center"/>
        <w:rPr>
          <w:rFonts w:ascii="Times New Roman" w:hAnsi="Times New Roman"/>
          <w:sz w:val="24"/>
          <w:szCs w:val="24"/>
        </w:rPr>
      </w:pPr>
    </w:p>
    <w:p w:rsidR="00B840AD" w:rsidRPr="00B840AD" w:rsidRDefault="00B840AD" w:rsidP="00FB2707">
      <w:pPr>
        <w:spacing w:after="0" w:line="240" w:lineRule="auto"/>
        <w:jc w:val="center"/>
        <w:rPr>
          <w:rFonts w:ascii="Times New Roman" w:hAnsi="Times New Roman"/>
          <w:sz w:val="24"/>
          <w:szCs w:val="24"/>
        </w:rPr>
      </w:pPr>
    </w:p>
    <w:p w:rsidR="001603BA" w:rsidRPr="00B840AD" w:rsidRDefault="001603BA" w:rsidP="00FB2707">
      <w:pPr>
        <w:spacing w:after="0" w:line="240" w:lineRule="auto"/>
        <w:jc w:val="center"/>
        <w:rPr>
          <w:rFonts w:ascii="Times New Roman" w:hAnsi="Times New Roman"/>
          <w:sz w:val="24"/>
          <w:szCs w:val="24"/>
        </w:rPr>
      </w:pPr>
    </w:p>
    <w:p w:rsidR="007F56A8" w:rsidRPr="00B840AD" w:rsidRDefault="00340AC7" w:rsidP="00745690">
      <w:pPr>
        <w:spacing w:after="0" w:line="240" w:lineRule="auto"/>
        <w:jc w:val="center"/>
        <w:rPr>
          <w:rFonts w:ascii="Times New Roman" w:hAnsi="Times New Roman"/>
          <w:b/>
          <w:sz w:val="24"/>
          <w:szCs w:val="24"/>
        </w:rPr>
      </w:pPr>
      <w:r w:rsidRPr="00B840AD">
        <w:rPr>
          <w:rFonts w:ascii="Times New Roman" w:hAnsi="Times New Roman"/>
          <w:sz w:val="24"/>
          <w:szCs w:val="24"/>
        </w:rPr>
        <w:t>Генеральный директор</w:t>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Pr="00B840AD">
        <w:rPr>
          <w:rFonts w:ascii="Times New Roman" w:hAnsi="Times New Roman"/>
          <w:sz w:val="24"/>
          <w:szCs w:val="24"/>
        </w:rPr>
        <w:t>О.Л.</w:t>
      </w:r>
      <w:r w:rsidR="003F7D6C">
        <w:rPr>
          <w:rFonts w:ascii="Times New Roman" w:hAnsi="Times New Roman"/>
          <w:sz w:val="24"/>
          <w:szCs w:val="24"/>
        </w:rPr>
        <w:t xml:space="preserve"> </w:t>
      </w:r>
      <w:r w:rsidRPr="00B840AD">
        <w:rPr>
          <w:rFonts w:ascii="Times New Roman" w:hAnsi="Times New Roman"/>
          <w:sz w:val="24"/>
          <w:szCs w:val="24"/>
        </w:rPr>
        <w:t>Мещерякова</w:t>
      </w:r>
    </w:p>
    <w:sectPr w:rsidR="007F56A8" w:rsidRPr="00B840AD" w:rsidSect="00837C7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870"/>
    <w:multiLevelType w:val="hybridMultilevel"/>
    <w:tmpl w:val="781C4C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07156836"/>
    <w:multiLevelType w:val="hybridMultilevel"/>
    <w:tmpl w:val="01DA590E"/>
    <w:lvl w:ilvl="0" w:tplc="307A2990">
      <w:start w:val="1"/>
      <w:numFmt w:val="upperRoman"/>
      <w:lvlText w:val="%1."/>
      <w:lvlJc w:val="left"/>
      <w:pPr>
        <w:ind w:left="1571"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0FE6BD3"/>
    <w:multiLevelType w:val="hybridMultilevel"/>
    <w:tmpl w:val="9D462856"/>
    <w:lvl w:ilvl="0" w:tplc="2418F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AEA7D0F"/>
    <w:multiLevelType w:val="multilevel"/>
    <w:tmpl w:val="E4669B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77D7864"/>
    <w:multiLevelType w:val="hybridMultilevel"/>
    <w:tmpl w:val="B602F792"/>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460D254E"/>
    <w:multiLevelType w:val="hybridMultilevel"/>
    <w:tmpl w:val="D7206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8453EA5"/>
    <w:multiLevelType w:val="hybridMultilevel"/>
    <w:tmpl w:val="1C065492"/>
    <w:lvl w:ilvl="0" w:tplc="44500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EF653B"/>
    <w:multiLevelType w:val="hybridMultilevel"/>
    <w:tmpl w:val="0C7A126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6BBE33A5"/>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F073701"/>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940807"/>
    <w:multiLevelType w:val="hybridMultilevel"/>
    <w:tmpl w:val="49CC8A74"/>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74D43DB1"/>
    <w:multiLevelType w:val="hybridMultilevel"/>
    <w:tmpl w:val="AB72D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539589B"/>
    <w:multiLevelType w:val="hybridMultilevel"/>
    <w:tmpl w:val="6A70E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B41756"/>
    <w:multiLevelType w:val="hybridMultilevel"/>
    <w:tmpl w:val="C41AAB16"/>
    <w:lvl w:ilvl="0" w:tplc="04190011">
      <w:start w:val="1"/>
      <w:numFmt w:val="decimal"/>
      <w:lvlText w:val="%1)"/>
      <w:lvlJc w:val="left"/>
      <w:pPr>
        <w:tabs>
          <w:tab w:val="num" w:pos="1287"/>
        </w:tabs>
        <w:ind w:left="1287" w:hanging="360"/>
      </w:pPr>
      <w:rPr>
        <w:rFonts w:cs="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7D9C1319"/>
    <w:multiLevelType w:val="hybridMultilevel"/>
    <w:tmpl w:val="CE26022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7E803EE0"/>
    <w:multiLevelType w:val="hybridMultilevel"/>
    <w:tmpl w:val="80CEF0C4"/>
    <w:lvl w:ilvl="0" w:tplc="4A4A8FFE">
      <w:start w:val="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13"/>
  </w:num>
  <w:num w:numId="7">
    <w:abstractNumId w:val="15"/>
  </w:num>
  <w:num w:numId="8">
    <w:abstractNumId w:val="14"/>
  </w:num>
  <w:num w:numId="9">
    <w:abstractNumId w:val="0"/>
  </w:num>
  <w:num w:numId="10">
    <w:abstractNumId w:val="3"/>
  </w:num>
  <w:num w:numId="11">
    <w:abstractNumId w:val="6"/>
  </w:num>
  <w:num w:numId="12">
    <w:abstractNumId w:val="9"/>
  </w:num>
  <w:num w:numId="13">
    <w:abstractNumId w:val="2"/>
  </w:num>
  <w:num w:numId="14">
    <w:abstractNumId w:val="4"/>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B00161"/>
    <w:rsid w:val="000056F5"/>
    <w:rsid w:val="0001235D"/>
    <w:rsid w:val="00013A48"/>
    <w:rsid w:val="00027F32"/>
    <w:rsid w:val="000350CC"/>
    <w:rsid w:val="0004706F"/>
    <w:rsid w:val="00052C62"/>
    <w:rsid w:val="00052FA5"/>
    <w:rsid w:val="00061648"/>
    <w:rsid w:val="00061D14"/>
    <w:rsid w:val="00062574"/>
    <w:rsid w:val="0006279E"/>
    <w:rsid w:val="00072697"/>
    <w:rsid w:val="0008459F"/>
    <w:rsid w:val="000846E8"/>
    <w:rsid w:val="0008627F"/>
    <w:rsid w:val="000C170D"/>
    <w:rsid w:val="000C65BB"/>
    <w:rsid w:val="000D57F6"/>
    <w:rsid w:val="000F036C"/>
    <w:rsid w:val="000F5FE7"/>
    <w:rsid w:val="001159EF"/>
    <w:rsid w:val="00140C0E"/>
    <w:rsid w:val="0014371F"/>
    <w:rsid w:val="001603BA"/>
    <w:rsid w:val="00165B7F"/>
    <w:rsid w:val="00166C45"/>
    <w:rsid w:val="0017156B"/>
    <w:rsid w:val="001715CE"/>
    <w:rsid w:val="00171CF1"/>
    <w:rsid w:val="00192309"/>
    <w:rsid w:val="001964AB"/>
    <w:rsid w:val="001B0836"/>
    <w:rsid w:val="001B2CD7"/>
    <w:rsid w:val="001B6519"/>
    <w:rsid w:val="001C05E8"/>
    <w:rsid w:val="001D0295"/>
    <w:rsid w:val="001D0AE1"/>
    <w:rsid w:val="001D2815"/>
    <w:rsid w:val="001E356E"/>
    <w:rsid w:val="001F22BD"/>
    <w:rsid w:val="00205411"/>
    <w:rsid w:val="00212D3E"/>
    <w:rsid w:val="002241A5"/>
    <w:rsid w:val="00236A8A"/>
    <w:rsid w:val="00240B06"/>
    <w:rsid w:val="00246A2D"/>
    <w:rsid w:val="00252CDF"/>
    <w:rsid w:val="00265477"/>
    <w:rsid w:val="002828A2"/>
    <w:rsid w:val="00284F07"/>
    <w:rsid w:val="00291FDE"/>
    <w:rsid w:val="002C2E96"/>
    <w:rsid w:val="002D1770"/>
    <w:rsid w:val="002E3DF1"/>
    <w:rsid w:val="002F40AA"/>
    <w:rsid w:val="002F4486"/>
    <w:rsid w:val="00300571"/>
    <w:rsid w:val="00316412"/>
    <w:rsid w:val="00332ECA"/>
    <w:rsid w:val="003378E1"/>
    <w:rsid w:val="003400A0"/>
    <w:rsid w:val="00340AC7"/>
    <w:rsid w:val="00343A65"/>
    <w:rsid w:val="0034649F"/>
    <w:rsid w:val="00352E93"/>
    <w:rsid w:val="00355A18"/>
    <w:rsid w:val="00357AE2"/>
    <w:rsid w:val="00360AC8"/>
    <w:rsid w:val="00367480"/>
    <w:rsid w:val="00372836"/>
    <w:rsid w:val="0037441A"/>
    <w:rsid w:val="00375081"/>
    <w:rsid w:val="0037799E"/>
    <w:rsid w:val="003839CA"/>
    <w:rsid w:val="00385FC9"/>
    <w:rsid w:val="0039711F"/>
    <w:rsid w:val="003A03C6"/>
    <w:rsid w:val="003A63B8"/>
    <w:rsid w:val="003C5845"/>
    <w:rsid w:val="003C6AB8"/>
    <w:rsid w:val="003D7400"/>
    <w:rsid w:val="003E3518"/>
    <w:rsid w:val="003F0797"/>
    <w:rsid w:val="003F4000"/>
    <w:rsid w:val="003F7D6C"/>
    <w:rsid w:val="00414B68"/>
    <w:rsid w:val="0042061D"/>
    <w:rsid w:val="00420962"/>
    <w:rsid w:val="0042539F"/>
    <w:rsid w:val="00425A5D"/>
    <w:rsid w:val="00431A31"/>
    <w:rsid w:val="004326CE"/>
    <w:rsid w:val="004439B3"/>
    <w:rsid w:val="00450453"/>
    <w:rsid w:val="0045771C"/>
    <w:rsid w:val="00466EED"/>
    <w:rsid w:val="00467C27"/>
    <w:rsid w:val="00483376"/>
    <w:rsid w:val="00483D22"/>
    <w:rsid w:val="00497BEE"/>
    <w:rsid w:val="004A1929"/>
    <w:rsid w:val="004A3E7E"/>
    <w:rsid w:val="004A52FA"/>
    <w:rsid w:val="004A5D5B"/>
    <w:rsid w:val="004A7586"/>
    <w:rsid w:val="004B0126"/>
    <w:rsid w:val="004B24A8"/>
    <w:rsid w:val="004B6A60"/>
    <w:rsid w:val="004B7ACF"/>
    <w:rsid w:val="004C0FA4"/>
    <w:rsid w:val="004C2877"/>
    <w:rsid w:val="004C2941"/>
    <w:rsid w:val="004D03D0"/>
    <w:rsid w:val="004E21AC"/>
    <w:rsid w:val="004F167F"/>
    <w:rsid w:val="004F2494"/>
    <w:rsid w:val="00525CA2"/>
    <w:rsid w:val="00526865"/>
    <w:rsid w:val="005307DA"/>
    <w:rsid w:val="00543695"/>
    <w:rsid w:val="00547921"/>
    <w:rsid w:val="00550A68"/>
    <w:rsid w:val="00556146"/>
    <w:rsid w:val="00561723"/>
    <w:rsid w:val="00584BB0"/>
    <w:rsid w:val="005A42A2"/>
    <w:rsid w:val="005A4524"/>
    <w:rsid w:val="005B2E03"/>
    <w:rsid w:val="005C10D8"/>
    <w:rsid w:val="005C4306"/>
    <w:rsid w:val="005D1279"/>
    <w:rsid w:val="005D17E5"/>
    <w:rsid w:val="005D7CC9"/>
    <w:rsid w:val="005E0CBF"/>
    <w:rsid w:val="005E5789"/>
    <w:rsid w:val="005F1692"/>
    <w:rsid w:val="00636C96"/>
    <w:rsid w:val="00650C96"/>
    <w:rsid w:val="00651371"/>
    <w:rsid w:val="00663514"/>
    <w:rsid w:val="00663F9C"/>
    <w:rsid w:val="0067209A"/>
    <w:rsid w:val="006837F1"/>
    <w:rsid w:val="006A5C6C"/>
    <w:rsid w:val="006B7B80"/>
    <w:rsid w:val="006C0C97"/>
    <w:rsid w:val="006D09CA"/>
    <w:rsid w:val="006D4ECD"/>
    <w:rsid w:val="006D5A43"/>
    <w:rsid w:val="006F397B"/>
    <w:rsid w:val="006F7613"/>
    <w:rsid w:val="00711346"/>
    <w:rsid w:val="00722584"/>
    <w:rsid w:val="00727EF5"/>
    <w:rsid w:val="0073164B"/>
    <w:rsid w:val="0073314C"/>
    <w:rsid w:val="00736C46"/>
    <w:rsid w:val="00741CD1"/>
    <w:rsid w:val="00745690"/>
    <w:rsid w:val="00752D71"/>
    <w:rsid w:val="00754C23"/>
    <w:rsid w:val="00760EAA"/>
    <w:rsid w:val="00764BC6"/>
    <w:rsid w:val="00771350"/>
    <w:rsid w:val="00772CFF"/>
    <w:rsid w:val="00774E0C"/>
    <w:rsid w:val="007879BF"/>
    <w:rsid w:val="00790E6F"/>
    <w:rsid w:val="007A2C74"/>
    <w:rsid w:val="007C3E06"/>
    <w:rsid w:val="007C4463"/>
    <w:rsid w:val="007C6CBB"/>
    <w:rsid w:val="007C72E2"/>
    <w:rsid w:val="007D0EAC"/>
    <w:rsid w:val="007D22F6"/>
    <w:rsid w:val="007D423E"/>
    <w:rsid w:val="007F2622"/>
    <w:rsid w:val="007F45F6"/>
    <w:rsid w:val="007F56A8"/>
    <w:rsid w:val="00803851"/>
    <w:rsid w:val="00804DF9"/>
    <w:rsid w:val="00817DF8"/>
    <w:rsid w:val="00837C7E"/>
    <w:rsid w:val="008511D9"/>
    <w:rsid w:val="008821B5"/>
    <w:rsid w:val="00890E74"/>
    <w:rsid w:val="008937C3"/>
    <w:rsid w:val="008A0559"/>
    <w:rsid w:val="008B1ECB"/>
    <w:rsid w:val="008C4496"/>
    <w:rsid w:val="008C5074"/>
    <w:rsid w:val="008D6B95"/>
    <w:rsid w:val="008E61ED"/>
    <w:rsid w:val="008F1400"/>
    <w:rsid w:val="008F3323"/>
    <w:rsid w:val="0090292B"/>
    <w:rsid w:val="00903805"/>
    <w:rsid w:val="00907412"/>
    <w:rsid w:val="00907975"/>
    <w:rsid w:val="00911275"/>
    <w:rsid w:val="00912766"/>
    <w:rsid w:val="0092050C"/>
    <w:rsid w:val="009428A6"/>
    <w:rsid w:val="009459D2"/>
    <w:rsid w:val="00957F0A"/>
    <w:rsid w:val="009639FF"/>
    <w:rsid w:val="00967491"/>
    <w:rsid w:val="00984742"/>
    <w:rsid w:val="00994887"/>
    <w:rsid w:val="009A5438"/>
    <w:rsid w:val="009C0A86"/>
    <w:rsid w:val="009D069A"/>
    <w:rsid w:val="009D0C45"/>
    <w:rsid w:val="009E68F4"/>
    <w:rsid w:val="009E77D4"/>
    <w:rsid w:val="009E77FA"/>
    <w:rsid w:val="009F0FEC"/>
    <w:rsid w:val="009F141E"/>
    <w:rsid w:val="009F48F5"/>
    <w:rsid w:val="00A046EA"/>
    <w:rsid w:val="00A176A6"/>
    <w:rsid w:val="00A30A69"/>
    <w:rsid w:val="00A31E35"/>
    <w:rsid w:val="00A418B9"/>
    <w:rsid w:val="00A5053F"/>
    <w:rsid w:val="00A5149C"/>
    <w:rsid w:val="00A62590"/>
    <w:rsid w:val="00A846BE"/>
    <w:rsid w:val="00A97F74"/>
    <w:rsid w:val="00AA2A3B"/>
    <w:rsid w:val="00AB146C"/>
    <w:rsid w:val="00AC5C25"/>
    <w:rsid w:val="00AD367C"/>
    <w:rsid w:val="00AE024B"/>
    <w:rsid w:val="00AF1EA9"/>
    <w:rsid w:val="00B00161"/>
    <w:rsid w:val="00B05F61"/>
    <w:rsid w:val="00B278B6"/>
    <w:rsid w:val="00B309A8"/>
    <w:rsid w:val="00B3246F"/>
    <w:rsid w:val="00B33554"/>
    <w:rsid w:val="00B43B23"/>
    <w:rsid w:val="00B610B2"/>
    <w:rsid w:val="00B6462C"/>
    <w:rsid w:val="00B64722"/>
    <w:rsid w:val="00B66529"/>
    <w:rsid w:val="00B67CF9"/>
    <w:rsid w:val="00B73B27"/>
    <w:rsid w:val="00B74054"/>
    <w:rsid w:val="00B74AD8"/>
    <w:rsid w:val="00B8081A"/>
    <w:rsid w:val="00B8331E"/>
    <w:rsid w:val="00B840AD"/>
    <w:rsid w:val="00B9189E"/>
    <w:rsid w:val="00B92A5F"/>
    <w:rsid w:val="00BB2672"/>
    <w:rsid w:val="00BC196B"/>
    <w:rsid w:val="00BC5ECD"/>
    <w:rsid w:val="00BC6E8A"/>
    <w:rsid w:val="00BD34E7"/>
    <w:rsid w:val="00BD7A42"/>
    <w:rsid w:val="00BE260F"/>
    <w:rsid w:val="00BE2849"/>
    <w:rsid w:val="00BE7697"/>
    <w:rsid w:val="00C0198D"/>
    <w:rsid w:val="00C04E34"/>
    <w:rsid w:val="00C11E19"/>
    <w:rsid w:val="00C15FD5"/>
    <w:rsid w:val="00C20E07"/>
    <w:rsid w:val="00C32554"/>
    <w:rsid w:val="00C37E5A"/>
    <w:rsid w:val="00C4157A"/>
    <w:rsid w:val="00C55188"/>
    <w:rsid w:val="00C70971"/>
    <w:rsid w:val="00C7179E"/>
    <w:rsid w:val="00C80BDC"/>
    <w:rsid w:val="00C83B9D"/>
    <w:rsid w:val="00C87545"/>
    <w:rsid w:val="00C91CBB"/>
    <w:rsid w:val="00C94D50"/>
    <w:rsid w:val="00CB06FD"/>
    <w:rsid w:val="00CB2149"/>
    <w:rsid w:val="00CB2FAE"/>
    <w:rsid w:val="00CB3138"/>
    <w:rsid w:val="00CB7377"/>
    <w:rsid w:val="00CC0605"/>
    <w:rsid w:val="00CC0EAE"/>
    <w:rsid w:val="00CC7907"/>
    <w:rsid w:val="00CD371C"/>
    <w:rsid w:val="00CE54D8"/>
    <w:rsid w:val="00CF2A82"/>
    <w:rsid w:val="00CF4D49"/>
    <w:rsid w:val="00D01B68"/>
    <w:rsid w:val="00D05979"/>
    <w:rsid w:val="00D12B77"/>
    <w:rsid w:val="00D1418C"/>
    <w:rsid w:val="00D15C42"/>
    <w:rsid w:val="00D15D43"/>
    <w:rsid w:val="00D26941"/>
    <w:rsid w:val="00D33834"/>
    <w:rsid w:val="00D4131A"/>
    <w:rsid w:val="00D432C1"/>
    <w:rsid w:val="00D46F8E"/>
    <w:rsid w:val="00D5489E"/>
    <w:rsid w:val="00D56671"/>
    <w:rsid w:val="00D6551F"/>
    <w:rsid w:val="00D657A5"/>
    <w:rsid w:val="00D660B6"/>
    <w:rsid w:val="00D66A9C"/>
    <w:rsid w:val="00D74B2D"/>
    <w:rsid w:val="00D8120B"/>
    <w:rsid w:val="00D90263"/>
    <w:rsid w:val="00D9517F"/>
    <w:rsid w:val="00DA18AE"/>
    <w:rsid w:val="00DA586E"/>
    <w:rsid w:val="00DB29F9"/>
    <w:rsid w:val="00DB4DEA"/>
    <w:rsid w:val="00DB6FA2"/>
    <w:rsid w:val="00DC7BC5"/>
    <w:rsid w:val="00DD0B41"/>
    <w:rsid w:val="00DE15AC"/>
    <w:rsid w:val="00DF4F10"/>
    <w:rsid w:val="00DF718C"/>
    <w:rsid w:val="00E06589"/>
    <w:rsid w:val="00E11682"/>
    <w:rsid w:val="00E30129"/>
    <w:rsid w:val="00E36A66"/>
    <w:rsid w:val="00E5578C"/>
    <w:rsid w:val="00E74597"/>
    <w:rsid w:val="00E769B6"/>
    <w:rsid w:val="00E8206F"/>
    <w:rsid w:val="00E93024"/>
    <w:rsid w:val="00E93B70"/>
    <w:rsid w:val="00E97E0D"/>
    <w:rsid w:val="00EA0410"/>
    <w:rsid w:val="00EB3558"/>
    <w:rsid w:val="00EC6AE0"/>
    <w:rsid w:val="00ED225B"/>
    <w:rsid w:val="00ED4327"/>
    <w:rsid w:val="00ED66FA"/>
    <w:rsid w:val="00EE042A"/>
    <w:rsid w:val="00EE2465"/>
    <w:rsid w:val="00EF7AD3"/>
    <w:rsid w:val="00F00E7F"/>
    <w:rsid w:val="00F06CDA"/>
    <w:rsid w:val="00F1112E"/>
    <w:rsid w:val="00F35C42"/>
    <w:rsid w:val="00F45254"/>
    <w:rsid w:val="00F669B5"/>
    <w:rsid w:val="00F67056"/>
    <w:rsid w:val="00F75CF3"/>
    <w:rsid w:val="00F774AB"/>
    <w:rsid w:val="00F90461"/>
    <w:rsid w:val="00F91AD1"/>
    <w:rsid w:val="00F972E6"/>
    <w:rsid w:val="00FA1558"/>
    <w:rsid w:val="00FA778F"/>
    <w:rsid w:val="00FB2707"/>
    <w:rsid w:val="00FC0098"/>
    <w:rsid w:val="00FC41C3"/>
    <w:rsid w:val="00FC4C43"/>
    <w:rsid w:val="00FD0A73"/>
    <w:rsid w:val="00FE2A1E"/>
    <w:rsid w:val="00FE637C"/>
    <w:rsid w:val="00FF10B6"/>
    <w:rsid w:val="00FF6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5"/>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A2C74"/>
    <w:pPr>
      <w:widowControl w:val="0"/>
      <w:autoSpaceDE w:val="0"/>
      <w:autoSpaceDN w:val="0"/>
      <w:adjustRightInd w:val="0"/>
    </w:pPr>
    <w:rPr>
      <w:rFonts w:ascii="Courier New" w:hAnsi="Courier New" w:cs="Courier New"/>
    </w:rPr>
  </w:style>
  <w:style w:type="paragraph" w:customStyle="1" w:styleId="ConsNormal">
    <w:name w:val="ConsNormal"/>
    <w:rsid w:val="00584BB0"/>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7D0E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D0EAC"/>
    <w:rPr>
      <w:rFonts w:ascii="Tahoma" w:hAnsi="Tahoma" w:cs="Tahoma"/>
      <w:sz w:val="16"/>
      <w:szCs w:val="16"/>
      <w:lang w:eastAsia="en-US"/>
    </w:rPr>
  </w:style>
  <w:style w:type="paragraph" w:styleId="HTML">
    <w:name w:val="HTML Preformatted"/>
    <w:basedOn w:val="a"/>
    <w:link w:val="HTML0"/>
    <w:uiPriority w:val="99"/>
    <w:rsid w:val="00FF1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FF10B6"/>
    <w:rPr>
      <w:rFonts w:ascii="Courier New" w:hAnsi="Courier New" w:cs="Courier New"/>
    </w:rPr>
  </w:style>
  <w:style w:type="paragraph" w:styleId="2">
    <w:name w:val="Body Text 2"/>
    <w:basedOn w:val="a"/>
    <w:link w:val="20"/>
    <w:uiPriority w:val="99"/>
    <w:rsid w:val="000846E8"/>
    <w:pPr>
      <w:autoSpaceDE w:val="0"/>
      <w:autoSpaceDN w:val="0"/>
      <w:spacing w:after="0" w:line="240" w:lineRule="auto"/>
      <w:jc w:val="both"/>
    </w:pPr>
    <w:rPr>
      <w:rFonts w:ascii="Times New Roman" w:hAnsi="Times New Roman"/>
      <w:sz w:val="28"/>
      <w:szCs w:val="28"/>
      <w:lang w:eastAsia="ru-RU"/>
    </w:rPr>
  </w:style>
  <w:style w:type="character" w:customStyle="1" w:styleId="20">
    <w:name w:val="Основной текст 2 Знак"/>
    <w:basedOn w:val="a0"/>
    <w:link w:val="2"/>
    <w:uiPriority w:val="99"/>
    <w:locked/>
    <w:rsid w:val="000846E8"/>
    <w:rPr>
      <w:rFonts w:ascii="Times New Roman" w:hAnsi="Times New Roman" w:cs="Times New Roman"/>
      <w:sz w:val="28"/>
      <w:szCs w:val="28"/>
    </w:rPr>
  </w:style>
  <w:style w:type="table" w:styleId="a5">
    <w:name w:val="Table Grid"/>
    <w:basedOn w:val="a1"/>
    <w:uiPriority w:val="59"/>
    <w:rsid w:val="00D2694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6"/>
    <w:link w:val="10"/>
    <w:qFormat/>
    <w:rsid w:val="00CB7377"/>
  </w:style>
  <w:style w:type="character" w:customStyle="1" w:styleId="10">
    <w:name w:val="Стиль1 Знак"/>
    <w:basedOn w:val="a0"/>
    <w:link w:val="1"/>
    <w:locked/>
    <w:rsid w:val="00CB7377"/>
    <w:rPr>
      <w:rFonts w:cs="Times New Roman"/>
      <w:sz w:val="22"/>
      <w:szCs w:val="22"/>
      <w:lang w:eastAsia="en-US"/>
    </w:rPr>
  </w:style>
  <w:style w:type="paragraph" w:styleId="a6">
    <w:name w:val="Body Text"/>
    <w:basedOn w:val="a"/>
    <w:link w:val="a7"/>
    <w:uiPriority w:val="99"/>
    <w:unhideWhenUsed/>
    <w:rsid w:val="00CB7377"/>
    <w:pPr>
      <w:spacing w:after="120"/>
    </w:pPr>
  </w:style>
  <w:style w:type="character" w:customStyle="1" w:styleId="a7">
    <w:name w:val="Основной текст Знак"/>
    <w:basedOn w:val="a0"/>
    <w:link w:val="a6"/>
    <w:uiPriority w:val="99"/>
    <w:semiHidden/>
    <w:locked/>
    <w:rsid w:val="00CB7377"/>
    <w:rPr>
      <w:rFonts w:cs="Times New Roman"/>
      <w:sz w:val="22"/>
      <w:szCs w:val="22"/>
      <w:lang w:eastAsia="en-US"/>
    </w:rPr>
  </w:style>
  <w:style w:type="paragraph" w:customStyle="1" w:styleId="a8">
    <w:name w:val="Цитаты"/>
    <w:basedOn w:val="a"/>
    <w:rsid w:val="00340AC7"/>
    <w:pPr>
      <w:widowControl w:val="0"/>
      <w:spacing w:before="100" w:after="100" w:line="240" w:lineRule="auto"/>
      <w:ind w:left="360" w:right="360"/>
    </w:pPr>
    <w:rPr>
      <w:rFonts w:ascii="Symbol" w:hAnsi="Symbol"/>
      <w:sz w:val="24"/>
      <w:szCs w:val="20"/>
      <w:lang w:eastAsia="ru-RU"/>
    </w:rPr>
  </w:style>
  <w:style w:type="paragraph" w:customStyle="1" w:styleId="ConsPlusNormal">
    <w:name w:val="ConsPlusNormal"/>
    <w:rsid w:val="00A5149C"/>
    <w:pPr>
      <w:widowControl w:val="0"/>
      <w:autoSpaceDE w:val="0"/>
      <w:autoSpaceDN w:val="0"/>
      <w:adjustRightInd w:val="0"/>
      <w:ind w:firstLine="720"/>
    </w:pPr>
    <w:rPr>
      <w:rFonts w:ascii="Arial" w:hAnsi="Arial" w:cs="Arial"/>
    </w:rPr>
  </w:style>
  <w:style w:type="character" w:styleId="a9">
    <w:name w:val="Hyperlink"/>
    <w:basedOn w:val="a0"/>
    <w:uiPriority w:val="99"/>
    <w:rsid w:val="00D6551F"/>
    <w:rPr>
      <w:rFonts w:cs="Times New Roman"/>
      <w:color w:val="0000FF"/>
      <w:u w:val="single"/>
    </w:rPr>
  </w:style>
  <w:style w:type="paragraph" w:customStyle="1" w:styleId="Default">
    <w:name w:val="Default"/>
    <w:rsid w:val="00A31E35"/>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34"/>
    <w:qFormat/>
    <w:rsid w:val="005C4306"/>
    <w:pPr>
      <w:spacing w:after="0" w:line="240" w:lineRule="auto"/>
      <w:ind w:left="720"/>
      <w:contextualSpacing/>
    </w:pPr>
    <w:rPr>
      <w:rFonts w:ascii="Times New Roman" w:hAnsi="Times New Roman"/>
      <w:sz w:val="24"/>
      <w:szCs w:val="24"/>
      <w:lang w:eastAsia="ru-RU"/>
    </w:rPr>
  </w:style>
  <w:style w:type="character" w:styleId="ab">
    <w:name w:val="annotation reference"/>
    <w:basedOn w:val="a0"/>
    <w:uiPriority w:val="99"/>
    <w:semiHidden/>
    <w:rsid w:val="00BB2672"/>
    <w:rPr>
      <w:rFonts w:cs="Times New Roman"/>
      <w:sz w:val="16"/>
    </w:rPr>
  </w:style>
  <w:style w:type="character" w:customStyle="1" w:styleId="ac">
    <w:name w:val="Текстовый Знак"/>
    <w:basedOn w:val="a0"/>
    <w:link w:val="ad"/>
    <w:locked/>
    <w:rsid w:val="00DF718C"/>
    <w:rPr>
      <w:rFonts w:ascii="Arial" w:hAnsi="Arial" w:cs="Times New Roman"/>
    </w:rPr>
  </w:style>
  <w:style w:type="paragraph" w:customStyle="1" w:styleId="ad">
    <w:name w:val="Текстовый"/>
    <w:link w:val="ac"/>
    <w:rsid w:val="00DF718C"/>
    <w:pPr>
      <w:widowControl w:val="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398210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Статус_x0020_документа xmlns="a1d7872c-6126-4a32-b4d6-b4aed00f16be">012_частично действующая редакция</Статус_x0020_документа>
    <_EndDate xmlns="http://schemas.microsoft.com/sharepoint/v3/fields">28.11.2019</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ADF46-EE07-46B1-8109-ACE6B5E96BC9}"/>
</file>

<file path=customXml/itemProps2.xml><?xml version="1.0" encoding="utf-8"?>
<ds:datastoreItem xmlns:ds="http://schemas.openxmlformats.org/officeDocument/2006/customXml" ds:itemID="{9E5CBEFC-47E2-457D-85AE-B14D8FE58FC1}"/>
</file>

<file path=customXml/itemProps3.xml><?xml version="1.0" encoding="utf-8"?>
<ds:datastoreItem xmlns:ds="http://schemas.openxmlformats.org/officeDocument/2006/customXml" ds:itemID="{298001E1-F940-462D-A21E-D44C6659F4AD}"/>
</file>

<file path=customXml/itemProps4.xml><?xml version="1.0" encoding="utf-8"?>
<ds:datastoreItem xmlns:ds="http://schemas.openxmlformats.org/officeDocument/2006/customXml" ds:itemID="{79B1FE0A-74AC-4932-A47E-E71B7C13CCDF}"/>
</file>

<file path=docProps/app.xml><?xml version="1.0" encoding="utf-8"?>
<Properties xmlns="http://schemas.openxmlformats.org/officeDocument/2006/extended-properties" xmlns:vt="http://schemas.openxmlformats.org/officeDocument/2006/docPropsVTypes">
  <Template>Normal.dotm</Template>
  <TotalTime>0</TotalTime>
  <Pages>10</Pages>
  <Words>3866</Words>
  <Characters>28286</Characters>
  <Application>Microsoft Office Word</Application>
  <DocSecurity>0</DocSecurity>
  <Lines>235</Lines>
  <Paragraphs>64</Paragraphs>
  <ScaleCrop>false</ScaleCrop>
  <Company>Grizli777</Company>
  <LinksUpToDate>false</LinksUpToDate>
  <CharactersWithSpaces>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kondratieva</cp:lastModifiedBy>
  <cp:revision>2</cp:revision>
  <cp:lastPrinted>2019-03-22T10:40:00Z</cp:lastPrinted>
  <dcterms:created xsi:type="dcterms:W3CDTF">2019-11-29T07:38:00Z</dcterms:created>
  <dcterms:modified xsi:type="dcterms:W3CDTF">2019-11-29T07:38:00Z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