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</w:p>
    <w:p w:rsidR="00B76E8C" w:rsidRDefault="00B76E8C" w:rsidP="007F4DE7">
      <w:pPr>
        <w:pStyle w:val="Body"/>
        <w:ind w:left="0" w:firstLine="0"/>
        <w:jc w:val="center"/>
        <w:rPr>
          <w:b/>
          <w:szCs w:val="24"/>
        </w:rPr>
      </w:pPr>
    </w:p>
    <w:p w:rsidR="00B76E8C" w:rsidRDefault="00B76E8C" w:rsidP="007F4DE7">
      <w:pPr>
        <w:pStyle w:val="Body"/>
        <w:ind w:left="0" w:firstLine="0"/>
        <w:jc w:val="center"/>
        <w:rPr>
          <w:b/>
          <w:szCs w:val="24"/>
        </w:rPr>
      </w:pP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</w:p>
    <w:p w:rsidR="00B76E8C" w:rsidRDefault="00B76E8C" w:rsidP="007F4DE7">
      <w:pPr>
        <w:pStyle w:val="Body"/>
        <w:ind w:left="0" w:firstLine="0"/>
        <w:jc w:val="center"/>
        <w:rPr>
          <w:b/>
          <w:szCs w:val="24"/>
        </w:rPr>
      </w:pP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ИЗМЕНЕНИЯ И ДОПОЛНЕНИЯ </w:t>
      </w: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В ПРАВИЛА ДОВЕРИТЕЛЬНОГО УПРАВЛЕНИЯ</w:t>
      </w:r>
      <w:r>
        <w:rPr>
          <w:b/>
          <w:szCs w:val="24"/>
        </w:rPr>
        <w:br/>
        <w:t>ЗАКРЫТЫМ ПАЕВЫМ ИНВЕСТИЦИОННЫМ ФОНДОМ АКЦИЙ «ИНПРО»</w:t>
      </w: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под управлением  </w:t>
      </w:r>
    </w:p>
    <w:p w:rsidR="007F4DE7" w:rsidRDefault="007F4DE7" w:rsidP="007F4DE7">
      <w:pPr>
        <w:pStyle w:val="Body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ОБЩЕСТВА С ОГРАНИЧЕННОЙ ОТВЕТСТВЕННОСТЬЮ</w:t>
      </w:r>
    </w:p>
    <w:p w:rsidR="007F4DE7" w:rsidRPr="008E6E03" w:rsidRDefault="007F4DE7" w:rsidP="007F4DE7">
      <w:pPr>
        <w:pStyle w:val="Body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«ЭЛБИ-ИНВЕСТИЦИОННЫЕ ПРОЦЕССЫ»</w:t>
      </w:r>
    </w:p>
    <w:p w:rsidR="007F4DE7" w:rsidRDefault="007F4DE7" w:rsidP="007F4DE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E03">
        <w:rPr>
          <w:rFonts w:ascii="Times New Roman" w:hAnsi="Times New Roman" w:cs="Times New Roman"/>
          <w:b w:val="0"/>
          <w:sz w:val="24"/>
          <w:szCs w:val="24"/>
        </w:rPr>
        <w:t xml:space="preserve"> зарегистрированные ФСФР России 30.12.2008 г. в реестре за № 1343-75409824</w:t>
      </w:r>
    </w:p>
    <w:p w:rsidR="007F4DE7" w:rsidRDefault="007F4DE7" w:rsidP="007F4DE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изменениями от 14.04.2009 года №1343-75409824-1</w:t>
      </w:r>
    </w:p>
    <w:p w:rsidR="007F4DE7" w:rsidRPr="008E6E03" w:rsidRDefault="007F4DE7" w:rsidP="007F4DE7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75"/>
        <w:gridCol w:w="4448"/>
        <w:gridCol w:w="4448"/>
      </w:tblGrid>
      <w:tr w:rsidR="007F4DE7" w:rsidTr="00EA06B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F4DE7" w:rsidRPr="00F013C1" w:rsidRDefault="007F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C1">
              <w:rPr>
                <w:rStyle w:val="Blue"/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7045E7" w:rsidRDefault="007F4DE7">
            <w:pPr>
              <w:pStyle w:val="BodyNum"/>
              <w:ind w:left="57" w:right="57"/>
              <w:jc w:val="center"/>
              <w:rPr>
                <w:rStyle w:val="Blue"/>
                <w:b/>
                <w:color w:val="auto"/>
                <w:szCs w:val="24"/>
              </w:rPr>
            </w:pPr>
            <w:r w:rsidRPr="008E6E03">
              <w:rPr>
                <w:rStyle w:val="Blue"/>
                <w:b/>
                <w:color w:val="auto"/>
                <w:szCs w:val="24"/>
              </w:rPr>
              <w:t>Старая редакция</w:t>
            </w:r>
          </w:p>
        </w:tc>
        <w:tc>
          <w:tcPr>
            <w:tcW w:w="4448" w:type="dxa"/>
          </w:tcPr>
          <w:p w:rsidR="007045E7" w:rsidRDefault="007F4DE7">
            <w:pPr>
              <w:pStyle w:val="BodyNum"/>
              <w:ind w:left="57" w:right="57"/>
              <w:jc w:val="center"/>
              <w:rPr>
                <w:rStyle w:val="Blue"/>
                <w:b/>
                <w:color w:val="auto"/>
                <w:szCs w:val="24"/>
              </w:rPr>
            </w:pPr>
            <w:r w:rsidRPr="008E6E03">
              <w:rPr>
                <w:rStyle w:val="Blue"/>
                <w:b/>
                <w:color w:val="auto"/>
                <w:szCs w:val="24"/>
              </w:rPr>
              <w:t>Новая редакция</w:t>
            </w:r>
          </w:p>
        </w:tc>
      </w:tr>
      <w:tr w:rsidR="007F4DE7" w:rsidTr="00EA06B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F4DE7" w:rsidRPr="00F013C1" w:rsidRDefault="001A71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13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7F4DE7" w:rsidRPr="00495FA9" w:rsidRDefault="007F4DE7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A9">
              <w:rPr>
                <w:rFonts w:ascii="Times New Roman" w:hAnsi="Times New Roman" w:cs="Times New Roman"/>
                <w:sz w:val="24"/>
                <w:szCs w:val="24"/>
              </w:rPr>
              <w:t>1. Полное название паевого инвестиционного фонда (далее - фонд) Закрытый паевой инвестиционный фонд акций «ИНПРО» под управлением Общества с ограниченной ответственностью «ЭЛБИ - Инвестиционные Процессы».</w:t>
            </w:r>
          </w:p>
          <w:p w:rsidR="007F4DE7" w:rsidRDefault="007F4DE7"/>
        </w:tc>
        <w:tc>
          <w:tcPr>
            <w:tcW w:w="4448" w:type="dxa"/>
          </w:tcPr>
          <w:p w:rsidR="00D7253F" w:rsidRDefault="007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A9">
              <w:rPr>
                <w:rFonts w:ascii="Times New Roman" w:hAnsi="Times New Roman" w:cs="Times New Roman"/>
                <w:sz w:val="24"/>
                <w:szCs w:val="24"/>
              </w:rPr>
              <w:t xml:space="preserve">1. Полное название паевого инвестиционного фонда (далее - фонд) </w:t>
            </w:r>
            <w:r w:rsidR="00A651ED" w:rsidRPr="00F249E7">
              <w:rPr>
                <w:rFonts w:ascii="Times New Roman" w:hAnsi="Times New Roman" w:cs="Times New Roman"/>
                <w:b/>
                <w:sz w:val="24"/>
                <w:szCs w:val="24"/>
              </w:rPr>
              <w:t>Закрытый паевой инвестиционный фонд акций «ИНПРО».</w:t>
            </w:r>
          </w:p>
        </w:tc>
      </w:tr>
      <w:tr w:rsidR="007F4DE7" w:rsidTr="00EA06B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F4DE7" w:rsidRPr="00F013C1" w:rsidRDefault="001A71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13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7F4DE7" w:rsidRDefault="007F4DE7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DE7">
              <w:rPr>
                <w:rFonts w:ascii="Times New Roman" w:hAnsi="Times New Roman"/>
                <w:sz w:val="24"/>
                <w:szCs w:val="24"/>
              </w:rPr>
              <w:t xml:space="preserve">5.  Место нахождения управляющей компании 198013, г. Санкт-Петербург, </w:t>
            </w:r>
            <w:proofErr w:type="spellStart"/>
            <w:r w:rsidRPr="007F4DE7">
              <w:rPr>
                <w:rFonts w:ascii="Times New Roman" w:hAnsi="Times New Roman"/>
                <w:sz w:val="24"/>
                <w:szCs w:val="24"/>
              </w:rPr>
              <w:t>Малодетскосельский</w:t>
            </w:r>
            <w:proofErr w:type="spellEnd"/>
            <w:r w:rsidRPr="007F4DE7">
              <w:rPr>
                <w:rFonts w:ascii="Times New Roman" w:hAnsi="Times New Roman"/>
                <w:sz w:val="24"/>
                <w:szCs w:val="24"/>
              </w:rPr>
              <w:t xml:space="preserve"> проспект, д. 28а литер А, </w:t>
            </w:r>
            <w:proofErr w:type="spellStart"/>
            <w:r w:rsidRPr="007F4DE7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7F4DE7">
              <w:rPr>
                <w:rFonts w:ascii="Times New Roman" w:hAnsi="Times New Roman"/>
                <w:sz w:val="24"/>
                <w:szCs w:val="24"/>
              </w:rPr>
              <w:t>. 3Н.</w:t>
            </w:r>
          </w:p>
          <w:p w:rsidR="00F013C1" w:rsidRPr="007F4DE7" w:rsidRDefault="00F013C1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D7253F" w:rsidRDefault="007F4DE7">
            <w:pPr>
              <w:jc w:val="both"/>
            </w:pPr>
            <w:r w:rsidRPr="00054EB9">
              <w:rPr>
                <w:rFonts w:ascii="Times New Roman" w:hAnsi="Times New Roman" w:cs="Times New Roman"/>
                <w:sz w:val="24"/>
                <w:szCs w:val="24"/>
              </w:rPr>
              <w:t>5. Место нахождения управляющей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5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194100,  Санкт-Петербург, ул. </w:t>
            </w:r>
            <w:proofErr w:type="gramStart"/>
            <w:r w:rsidRPr="00054EB9">
              <w:rPr>
                <w:rFonts w:ascii="Times New Roman" w:hAnsi="Times New Roman" w:cs="Times New Roman"/>
                <w:b/>
                <w:sz w:val="24"/>
                <w:szCs w:val="24"/>
              </w:rPr>
              <w:t>Кантемировская</w:t>
            </w:r>
            <w:proofErr w:type="gramEnd"/>
            <w:r w:rsidRPr="00054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д.12, литер А, </w:t>
            </w:r>
            <w:proofErr w:type="spellStart"/>
            <w:r w:rsidRPr="00054EB9">
              <w:rPr>
                <w:rFonts w:ascii="Times New Roman" w:hAnsi="Times New Roman" w:cs="Times New Roman"/>
                <w:b/>
                <w:sz w:val="24"/>
                <w:szCs w:val="24"/>
              </w:rPr>
              <w:t>пом</w:t>
            </w:r>
            <w:proofErr w:type="spellEnd"/>
            <w:r w:rsidRPr="00054EB9">
              <w:rPr>
                <w:rFonts w:ascii="Times New Roman" w:hAnsi="Times New Roman" w:cs="Times New Roman"/>
                <w:b/>
                <w:sz w:val="24"/>
                <w:szCs w:val="24"/>
              </w:rPr>
              <w:t>. 2Н.</w:t>
            </w:r>
          </w:p>
        </w:tc>
      </w:tr>
      <w:tr w:rsidR="007F4DE7" w:rsidTr="00EA06B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F4DE7" w:rsidRPr="001A71DE" w:rsidRDefault="001A71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7F4DE7" w:rsidRPr="0091688F" w:rsidRDefault="007F4DE7" w:rsidP="007F4DE7">
            <w:pPr>
              <w:pStyle w:val="BodyNum"/>
              <w:ind w:left="113" w:right="57"/>
              <w:rPr>
                <w:rStyle w:val="Blue"/>
                <w:color w:val="auto"/>
              </w:rPr>
            </w:pPr>
            <w:r w:rsidRPr="0091688F">
              <w:rPr>
                <w:rStyle w:val="Blue"/>
                <w:color w:val="auto"/>
              </w:rPr>
              <w:t>7.</w:t>
            </w:r>
            <w:r>
              <w:rPr>
                <w:rStyle w:val="Blue"/>
                <w:color w:val="auto"/>
              </w:rPr>
              <w:t xml:space="preserve"> </w:t>
            </w:r>
            <w:r w:rsidRPr="0091688F">
              <w:rPr>
                <w:rStyle w:val="Blue"/>
                <w:color w:val="auto"/>
              </w:rPr>
              <w:t xml:space="preserve"> Полное фирменное наименование специализированного депозитария фонда (далее - специализированный депозитарий) Общество с ограниченной ответственностью «Северо-Западная Финансовая Компания».</w:t>
            </w:r>
          </w:p>
          <w:p w:rsidR="007F4DE7" w:rsidRPr="007F4DE7" w:rsidRDefault="007F4DE7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D7253F" w:rsidRDefault="007F4DE7">
            <w:pPr>
              <w:jc w:val="both"/>
            </w:pPr>
            <w:r w:rsidRPr="0091688F">
              <w:rPr>
                <w:rFonts w:ascii="Times New Roman" w:hAnsi="Times New Roman" w:cs="Times New Roman"/>
                <w:sz w:val="24"/>
                <w:szCs w:val="24"/>
              </w:rPr>
              <w:t xml:space="preserve">7. Полное фирменное наименование специализированного депозитария фонда:  </w:t>
            </w:r>
            <w:r w:rsidRPr="0091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688F">
              <w:rPr>
                <w:rFonts w:ascii="Times New Roman" w:hAnsi="Times New Roman" w:cs="Times New Roman"/>
                <w:b/>
                <w:sz w:val="24"/>
                <w:szCs w:val="24"/>
              </w:rPr>
              <w:t>«Первый Специализированный Депозитарий» (далее - специализированный депозитарий)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4DE7" w:rsidTr="00EA06B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F4DE7" w:rsidRPr="001A71DE" w:rsidRDefault="001A71DE">
            <w:pPr>
              <w:rPr>
                <w:rFonts w:ascii="Times New Roman" w:hAnsi="Times New Roman" w:cs="Times New Roman"/>
                <w:lang w:val="en-US"/>
              </w:rPr>
            </w:pP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3B5A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D7253F" w:rsidRDefault="007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1688F">
              <w:rPr>
                <w:rFonts w:ascii="Times New Roman" w:hAnsi="Times New Roman" w:cs="Times New Roman"/>
                <w:sz w:val="24"/>
                <w:szCs w:val="24"/>
              </w:rPr>
              <w:t>Место нахождения специализированного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688F">
              <w:rPr>
                <w:rFonts w:ascii="Times New Roman" w:hAnsi="Times New Roman" w:cs="Times New Roman"/>
                <w:sz w:val="24"/>
                <w:szCs w:val="24"/>
              </w:rPr>
              <w:t xml:space="preserve"> депозитария 190005, Санкт-Петербург, Измайловский пр., д. 4, литер А.</w:t>
            </w:r>
          </w:p>
          <w:p w:rsidR="00D7253F" w:rsidRDefault="00D7253F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</w:p>
        </w:tc>
        <w:tc>
          <w:tcPr>
            <w:tcW w:w="4448" w:type="dxa"/>
          </w:tcPr>
          <w:p w:rsidR="007F4DE7" w:rsidRDefault="007F4DE7" w:rsidP="00B76E8C">
            <w:pPr>
              <w:pStyle w:val="ConsPlusNormal"/>
              <w:widowControl/>
              <w:ind w:left="113" w:firstLine="0"/>
              <w:jc w:val="both"/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F2F98" w:rsidRPr="007F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специализированного депозитария: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125167,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>Москва, 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Восьмого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4-я, дом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4DE7" w:rsidTr="00EA06B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F4DE7" w:rsidRPr="001A71DE" w:rsidRDefault="001A71DE">
            <w:pPr>
              <w:rPr>
                <w:rFonts w:ascii="Times New Roman" w:hAnsi="Times New Roman" w:cs="Times New Roman"/>
                <w:lang w:val="en-US"/>
              </w:rPr>
            </w:pP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7F4DE7" w:rsidRPr="00DD454E" w:rsidRDefault="007F4DE7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>9. Лицензия специализированного депозитария от "20" декабря 2000 г. N 22-000-1-00024, предоставленная Федеральной комиссией по рынку ценных бумаг.</w:t>
            </w:r>
          </w:p>
          <w:p w:rsidR="007F4DE7" w:rsidRDefault="007F4DE7"/>
        </w:tc>
        <w:tc>
          <w:tcPr>
            <w:tcW w:w="4448" w:type="dxa"/>
          </w:tcPr>
          <w:p w:rsidR="007F4DE7" w:rsidRPr="00DD454E" w:rsidRDefault="007F4DE7" w:rsidP="00BA7B8D">
            <w:pPr>
              <w:pStyle w:val="ConsPlusNormal"/>
              <w:widowControl/>
              <w:ind w:lef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 xml:space="preserve">9. Лицензия специализированного депозитария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осуществление деятельности специализированного депозитария инвестиционных фондов, паевых инвестиционных фондов  и негосударственных </w:t>
            </w:r>
            <w:r w:rsidR="00F249E7">
              <w:rPr>
                <w:rFonts w:ascii="Times New Roman" w:hAnsi="Times New Roman" w:cs="Times New Roman"/>
                <w:b/>
                <w:sz w:val="24"/>
                <w:szCs w:val="24"/>
              </w:rPr>
              <w:t>пенс</w:t>
            </w:r>
            <w:r w:rsidR="00F249E7"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ионных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фондов от 08 августа 1996 года </w:t>
            </w:r>
          </w:p>
          <w:p w:rsidR="007F4DE7" w:rsidRDefault="007F4DE7" w:rsidP="00BA7B8D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22-000-1-00001, </w:t>
            </w:r>
            <w:proofErr w:type="gramStart"/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предоставленная</w:t>
            </w:r>
            <w:proofErr w:type="gramEnd"/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Федеральной службой по финансовым рынкам.</w:t>
            </w:r>
          </w:p>
          <w:p w:rsidR="00F013C1" w:rsidRDefault="00F013C1" w:rsidP="007F4DE7"/>
        </w:tc>
      </w:tr>
      <w:tr w:rsidR="007F4DE7" w:rsidTr="00EA06B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F4DE7" w:rsidRPr="001A71DE" w:rsidRDefault="001A71DE">
            <w:pPr>
              <w:rPr>
                <w:rFonts w:ascii="Times New Roman" w:hAnsi="Times New Roman" w:cs="Times New Roman"/>
                <w:lang w:val="en-US"/>
              </w:rPr>
            </w:pP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7F4DE7" w:rsidRDefault="007F4DE7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>11. Полное фирменное наименование лица, осуществляющего ведение реестра владельцев инвестиционных паев фонда (далее - регистратор) Общество с ограниченной ответственностью «Северо-Западная Финансовая Компания».</w:t>
            </w:r>
          </w:p>
          <w:p w:rsidR="007F4DE7" w:rsidRDefault="007F4DE7"/>
        </w:tc>
        <w:tc>
          <w:tcPr>
            <w:tcW w:w="4448" w:type="dxa"/>
          </w:tcPr>
          <w:p w:rsidR="007F4DE7" w:rsidRDefault="007F4DE7" w:rsidP="00BA7B8D">
            <w:pPr>
              <w:ind w:left="113" w:right="57"/>
              <w:jc w:val="both"/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>11. Полное фирменное наименование лица, осуществляющего ведение реестра владельцев инвестиционных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аев фонда:</w:t>
            </w: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«Первый Специализированный Депозитарий» (далее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1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регистратор)</w:t>
            </w:r>
          </w:p>
        </w:tc>
      </w:tr>
      <w:tr w:rsidR="007F4DE7" w:rsidTr="00EA0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E7" w:rsidRPr="001A71DE" w:rsidRDefault="001A71DE">
            <w:pPr>
              <w:rPr>
                <w:rFonts w:ascii="Times New Roman" w:hAnsi="Times New Roman" w:cs="Times New Roman"/>
                <w:lang w:val="en-US"/>
              </w:rPr>
            </w:pP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7F4DE7" w:rsidRPr="00DD454E" w:rsidRDefault="007F4DE7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>12. Место нахождения регистратора 190005, Санкт-Петербург, Измайловский пр., д. 4, литер А.</w:t>
            </w:r>
          </w:p>
          <w:p w:rsidR="007F4DE7" w:rsidRDefault="007F4DE7"/>
        </w:tc>
        <w:tc>
          <w:tcPr>
            <w:tcW w:w="4448" w:type="dxa"/>
          </w:tcPr>
          <w:p w:rsidR="00D7253F" w:rsidRDefault="007F4DE7">
            <w:pPr>
              <w:ind w:left="113" w:right="57"/>
              <w:jc w:val="both"/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B7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>Место нахождения регистратора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E7">
              <w:rPr>
                <w:rFonts w:ascii="Times New Roman" w:hAnsi="Times New Roman" w:cs="Times New Roman"/>
                <w:b/>
                <w:sz w:val="24"/>
                <w:szCs w:val="24"/>
              </w:rPr>
              <w:t>125167, г. Москва, ул.  Восьмого Марта  4-я, дом 6А.</w:t>
            </w:r>
          </w:p>
        </w:tc>
      </w:tr>
      <w:tr w:rsidR="007F4DE7" w:rsidTr="00EA0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E7" w:rsidRPr="001A71DE" w:rsidRDefault="001A71D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DF1274" w:rsidRDefault="007F4DE7" w:rsidP="00DF1274">
            <w:pPr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>13. Лицензия регистратора от "20" декабря 2000 г. N 22-000-1-00024,предоставленная Федеральной комиссией по рынку ценных бумаг.</w:t>
            </w:r>
          </w:p>
        </w:tc>
        <w:tc>
          <w:tcPr>
            <w:tcW w:w="4448" w:type="dxa"/>
          </w:tcPr>
          <w:p w:rsidR="007F4DE7" w:rsidRPr="00DD454E" w:rsidRDefault="007F4DE7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4E">
              <w:rPr>
                <w:rFonts w:ascii="Times New Roman" w:hAnsi="Times New Roman" w:cs="Times New Roman"/>
                <w:sz w:val="24"/>
                <w:szCs w:val="24"/>
              </w:rPr>
              <w:t xml:space="preserve">13. Лицензия специализированного депозитария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осуществление деятельности специализированного депозитария инвестиционных фондов, паевых инвестиционных фондов  и негосударственных </w:t>
            </w:r>
            <w:r w:rsidR="00F249E7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пенсионных</w:t>
            </w:r>
            <w:r w:rsidR="00F249E7"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>от 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1996 года </w:t>
            </w:r>
          </w:p>
          <w:p w:rsidR="007F4DE7" w:rsidRDefault="007F4DE7" w:rsidP="007F4DE7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22-000-1-00001, </w:t>
            </w:r>
            <w:proofErr w:type="gramStart"/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предоставленная</w:t>
            </w:r>
            <w:proofErr w:type="gramEnd"/>
            <w:r w:rsidRPr="00DD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Федеральной службой по финансовым рынкам.</w:t>
            </w:r>
          </w:p>
          <w:p w:rsidR="007F4DE7" w:rsidRDefault="007F4DE7"/>
        </w:tc>
      </w:tr>
      <w:tr w:rsidR="001A71DE" w:rsidTr="00EA0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E" w:rsidRPr="001A71DE" w:rsidRDefault="001A71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A651ED" w:rsidRPr="00A651ED" w:rsidRDefault="00A651ED" w:rsidP="00A651ED">
            <w:pPr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D">
              <w:rPr>
                <w:rFonts w:ascii="Times New Roman" w:hAnsi="Times New Roman" w:cs="Times New Roman"/>
                <w:sz w:val="24"/>
                <w:szCs w:val="24"/>
              </w:rPr>
              <w:t xml:space="preserve">44. Способы получения выписок из реестра владельцев инвестиционных паев. </w:t>
            </w:r>
          </w:p>
          <w:p w:rsidR="00A651ED" w:rsidRPr="00A651ED" w:rsidRDefault="00A651ED" w:rsidP="00A651ED">
            <w:pPr>
              <w:ind w:left="113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указания в данных счета иного способа предоставления выписки она вручается лично у Регистратора заявителю или его уполномоченному представителю, действующему на основании доверенности. При представлении выписки по запросу нотариуса или уполномоченного законом государственного органа она направляется по адресу соответствующего нотариуса или органа, указанному в запросе. </w:t>
            </w:r>
          </w:p>
          <w:p w:rsidR="001A71DE" w:rsidRPr="00DD454E" w:rsidRDefault="001A71DE" w:rsidP="00CD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A651ED" w:rsidRPr="00A651ED" w:rsidRDefault="00A651ED" w:rsidP="00A651ED">
            <w:pPr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 Способы получения выписок из реестра владельцев инвестиционных паев.</w:t>
            </w:r>
          </w:p>
          <w:p w:rsidR="001A71DE" w:rsidRPr="00F013C1" w:rsidRDefault="00A651ED" w:rsidP="00F013C1">
            <w:pPr>
              <w:spacing w:after="120"/>
              <w:ind w:left="113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ED">
              <w:rPr>
                <w:rFonts w:ascii="Times New Roman" w:hAnsi="Times New Roman" w:cs="Times New Roman"/>
                <w:b/>
                <w:sz w:val="24"/>
                <w:szCs w:val="24"/>
              </w:rPr>
              <w:t>Выписка, предоставляемая в электронно-цифровой форме, направляется заявителю в электронно-цифровой форме с электронной цифровой подписью регистратора.</w:t>
            </w:r>
          </w:p>
          <w:p w:rsidR="001A71DE" w:rsidRPr="00F013C1" w:rsidRDefault="00A651ED" w:rsidP="00F013C1">
            <w:pPr>
              <w:spacing w:after="120"/>
              <w:ind w:left="113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Выписка, предоставляемая в форме документа на бумажном носителе,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</w:t>
            </w:r>
            <w:r w:rsidRPr="00A651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способа предоставления выписки.</w:t>
            </w:r>
          </w:p>
          <w:p w:rsidR="001A71DE" w:rsidRPr="00DD454E" w:rsidRDefault="00A651ED" w:rsidP="00B76E8C">
            <w:pPr>
              <w:spacing w:after="200" w:line="276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ED">
              <w:rPr>
                <w:rFonts w:ascii="Times New Roman" w:hAnsi="Times New Roman" w:cs="Times New Roman"/>
                <w:b/>
                <w:sz w:val="24"/>
                <w:szCs w:val="24"/>
              </w:rPr>
              <w:t>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органа, указанному в запросе.</w:t>
            </w:r>
          </w:p>
        </w:tc>
      </w:tr>
      <w:tr w:rsidR="006F71BC" w:rsidTr="00EA06B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BC" w:rsidRPr="00F249E7" w:rsidRDefault="00F249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000000" w:rsidRDefault="006F71BC">
            <w:pPr>
              <w:ind w:left="11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>45. Общее собрание владельцев инвестиционных паев  (далее именуется – Общее собрание) принимает решения по вопросам:</w:t>
            </w:r>
          </w:p>
          <w:p w:rsidR="00000000" w:rsidRDefault="006F71BC">
            <w:pPr>
              <w:ind w:left="113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>1) утверждения изменений, которые вносятся в настоящие Правила, связанных: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инвестиционной декларации Фонда, за исключением случаев, когда такие изменения обусловлены изменениями нормативных правовых актов федерального органа исполнительной власти по рынку ценных бумаг, устанавливающих дополнительные ограничения состава и структуры активов паевых инвестиционных фондов; </w:t>
            </w:r>
            <w:proofErr w:type="gramEnd"/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увеличением размера вознаграждения Управляющей компании, Специализированного депозитария, Регистратора, Оценщика и Аудитора;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расширением перечня расходов Управляющей компании, подлежащих оплате за счет имущества, составляющего Фонд;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введением скидок в связи с погашением инвестиционных паев или увеличением их размеров;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типа Фонда;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определением количества дополнительных инвестиционных паев Фонда, которые могут быть выданы после завершения (окончания) его формирования;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категории Фонда;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установлением или исключением права владельцев инвестиционных паев на получение дохода от </w:t>
            </w:r>
            <w:r w:rsidRPr="006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доверительного управления Фондом;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порядка определения размера дохода от доверительного управления Фондом, распределяемого между владельцами инвестиционных паев;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увеличением максимального размера расходов, связанных с доверительным управлением имуществом, составляющим Фонд, подлежащих оплате за счет имущества, составляющего Фонд;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срока действия договора доверительного управления Фондом;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увеличением размера вознаграждения лица, осуществляющего прекращение Фонда;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>с изменением количества голосов, необходимых для принятия решения Общим собранием;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>с тем, что инвестиционные паи Фонда предназначены для квалифицированных инвесторов.</w:t>
            </w:r>
          </w:p>
          <w:p w:rsidR="00000000" w:rsidRDefault="00002F1D">
            <w:pPr>
              <w:spacing w:after="120"/>
              <w:ind w:left="113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D">
              <w:rPr>
                <w:rFonts w:ascii="Times New Roman" w:hAnsi="Times New Roman" w:cs="Times New Roman"/>
                <w:sz w:val="24"/>
                <w:szCs w:val="24"/>
              </w:rPr>
              <w:t>2) передачи прав и обязанностей по договору доверительного управления Фондом другой Управляющей компании;</w:t>
            </w:r>
          </w:p>
          <w:p w:rsidR="00000000" w:rsidRDefault="00002F1D">
            <w:pPr>
              <w:spacing w:after="120"/>
              <w:ind w:left="113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D">
              <w:rPr>
                <w:rFonts w:ascii="Times New Roman" w:hAnsi="Times New Roman" w:cs="Times New Roman"/>
                <w:sz w:val="24"/>
                <w:szCs w:val="24"/>
              </w:rPr>
              <w:t>3) досрочного прекращения или продления срока действия договора доверительного управления Фондом.</w:t>
            </w:r>
          </w:p>
          <w:p w:rsidR="006F71BC" w:rsidRPr="00B76E8C" w:rsidRDefault="006F71BC" w:rsidP="006F71B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60" w:after="60"/>
              <w:ind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000000" w:rsidRDefault="006F71BC">
            <w:pPr>
              <w:ind w:left="113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 Общее собрание владельцев инвестиционных паев  (далее именуется – Общее собрание) принимает решения по вопросам:</w:t>
            </w:r>
          </w:p>
          <w:p w:rsidR="00000000" w:rsidRDefault="006F71BC">
            <w:pPr>
              <w:ind w:left="113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>1) утверждения изменений, которые вносятся в настоящие Правила, связанных: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инвестиционной декларации Фонда, за исключением случаев, когда такие изменения обусловлены изменениями нормативных правовых актов федерального органа исполнительной власти по рынку ценных бумаг, устанавливающих дополнительные ограничения состава и структуры активов паевых инвестиционных фондов; </w:t>
            </w:r>
            <w:proofErr w:type="gramEnd"/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увеличением размера вознаграждения Управляющей компании, Специализированного депозитария, Регистратора, Оценщика и Аудитора;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расширением перечня расходов Управляющей компании, подлежащих оплате за счет имущества, составляющего Фонд;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введением скидок в связи с погашением инвестиционных паев или увеличением их размеров;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типа Фонда;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определением количества дополнительных инвестиционных паев Фонда, которые могут быть выданы после завершения (окончания) его формирования;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категории Фонда;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установлением или исключением права владельцев инвестиционных паев на получение дохода от </w:t>
            </w:r>
            <w:r w:rsidRPr="006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доверительного управления Фондом;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порядка определения размера дохода от доверительного управления Фондом, распределяемого между владельцами инвестиционных паев;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увеличением максимального размера расходов, связанных с доверительным управлением имуществом, составляющим Фонд, подлежащих оплате за счет имущества, составляющего Фонд;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срока действия договора доверительного управления Фондом; </w:t>
            </w:r>
          </w:p>
          <w:p w:rsidR="006F71BC" w:rsidRPr="006F71BC" w:rsidRDefault="006F71BC" w:rsidP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70" w:right="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 xml:space="preserve">с увеличением размера вознаграждения лица, осуществляющего прекращение Фонда; </w:t>
            </w:r>
          </w:p>
          <w:p w:rsidR="00000000" w:rsidRDefault="006F71BC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left" w:pos="1134"/>
              </w:tabs>
              <w:autoSpaceDE w:val="0"/>
              <w:autoSpaceDN w:val="0"/>
              <w:adjustRightInd w:val="0"/>
              <w:ind w:left="113" w:right="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1BC">
              <w:rPr>
                <w:rFonts w:ascii="Times New Roman" w:hAnsi="Times New Roman" w:cs="Times New Roman"/>
                <w:sz w:val="24"/>
                <w:szCs w:val="24"/>
              </w:rPr>
              <w:t>с изменением количества голосов, необходимых для принятия решения Общим собранием</w:t>
            </w:r>
            <w:r w:rsidR="00F2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002F1D">
            <w:pPr>
              <w:spacing w:after="120"/>
              <w:ind w:left="113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D">
              <w:rPr>
                <w:rFonts w:ascii="Times New Roman" w:hAnsi="Times New Roman" w:cs="Times New Roman"/>
                <w:sz w:val="24"/>
                <w:szCs w:val="24"/>
              </w:rPr>
              <w:t>2) передачи прав и обязанностей по договору доверительного управления Фондом другой Управляющей компании;</w:t>
            </w:r>
          </w:p>
          <w:p w:rsidR="00000000" w:rsidRDefault="00002F1D">
            <w:pPr>
              <w:spacing w:after="120"/>
              <w:ind w:left="113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1D">
              <w:rPr>
                <w:rFonts w:ascii="Times New Roman" w:hAnsi="Times New Roman" w:cs="Times New Roman"/>
                <w:sz w:val="24"/>
                <w:szCs w:val="24"/>
              </w:rPr>
              <w:t>3) досрочного прекращения или продления срока действия договора доверительного управления Фондом.</w:t>
            </w:r>
          </w:p>
          <w:p w:rsidR="006F71BC" w:rsidRPr="00B76E8C" w:rsidRDefault="006F71BC" w:rsidP="006F71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8C" w:rsidTr="00EA0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8C" w:rsidRPr="001A71DE" w:rsidRDefault="00B76E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F24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B76E8C" w:rsidRPr="00B76E8C" w:rsidRDefault="00B76E8C" w:rsidP="00B76E8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60" w:after="60"/>
              <w:ind w:left="11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_44"/>
            <w:bookmarkEnd w:id="0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73. Управляющая компания раскрывает информацию о принятом </w:t>
            </w:r>
            <w:proofErr w:type="gram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 максимальное количество выдаваемых дополнительных инвестиционных паев. </w:t>
            </w:r>
          </w:p>
          <w:p w:rsidR="00B76E8C" w:rsidRDefault="00B76E8C" w:rsidP="00B76E8C">
            <w:pPr>
              <w:ind w:left="113" w:right="57"/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Указанную информацию Управляющая компания раскрывает на сайте 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elby-ip.ru</w:t>
            </w:r>
            <w:proofErr w:type="spell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</w:tcPr>
          <w:p w:rsidR="00B76E8C" w:rsidRPr="00B76E8C" w:rsidRDefault="00B76E8C" w:rsidP="00B76E8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60" w:after="60"/>
              <w:ind w:left="11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73. Управляющая компания раскрывает информацию о принятом </w:t>
            </w:r>
            <w:proofErr w:type="gram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 максимальное количество выдаваемых дополнительных инвестиционных паев. </w:t>
            </w:r>
          </w:p>
          <w:p w:rsidR="00B76E8C" w:rsidRPr="00B76E8C" w:rsidRDefault="00B76E8C" w:rsidP="00B76E8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60" w:after="60"/>
              <w:ind w:left="113" w:right="5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Указанную информацию Управляющая компания раскрывает на сайте </w:t>
            </w:r>
            <w:proofErr w:type="spellStart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>elby-ip.ru</w:t>
            </w:r>
            <w:proofErr w:type="spellEnd"/>
            <w:r w:rsidRPr="00B76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E8C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публикует в «Приложении к Вестнику Федеральной службы по финансовым рынкам».</w:t>
            </w:r>
          </w:p>
          <w:p w:rsidR="00B76E8C" w:rsidRDefault="00B76E8C"/>
          <w:p w:rsidR="00307524" w:rsidRDefault="00307524"/>
        </w:tc>
      </w:tr>
      <w:tr w:rsidR="007271D4" w:rsidTr="00EA0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8C" w:rsidRPr="001A71DE" w:rsidRDefault="00B76E8C">
            <w:pPr>
              <w:rPr>
                <w:rFonts w:ascii="Times New Roman" w:hAnsi="Times New Roman" w:cs="Times New Roman"/>
                <w:lang w:val="en-US"/>
              </w:rPr>
            </w:pP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F24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B76E8C" w:rsidRPr="00B451D1" w:rsidRDefault="00B76E8C" w:rsidP="00307524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110. </w:t>
            </w:r>
            <w:proofErr w:type="gramStart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За счет имущества, составляющего Фонд, выплачиваются вознаграждения Управляющей компании в размере 1 (одного) процента (с учетом налога на добавленную стоимость) среднегодовой стоимости чистых активов Фонда, а также Специализированному депозитарию, Регистратору, Аудитору и Оценщику в размере не более 5 (Пяти) процентов (с учетом налога на добавленную стоимость) среднегодовой стоимости чистых активов Фонда.</w:t>
            </w:r>
            <w:proofErr w:type="gramEnd"/>
          </w:p>
        </w:tc>
        <w:tc>
          <w:tcPr>
            <w:tcW w:w="4448" w:type="dxa"/>
          </w:tcPr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110. </w:t>
            </w:r>
            <w:proofErr w:type="gramStart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За счет имущества, составляющего Фонд, выплачиваются вознаграждения Управляющей компании в размере 1 (одного) процента (с учетом налога на добавленную стоимость) среднегодовой стоимости чистых активов Фонда, а также Специализированному депозитарию, Регистратору, Аудитору и Оценщику в размере не более </w:t>
            </w:r>
            <w:r w:rsidRPr="00B451D1">
              <w:rPr>
                <w:rFonts w:ascii="Times New Roman" w:hAnsi="Times New Roman" w:cs="Times New Roman"/>
                <w:b/>
                <w:sz w:val="24"/>
                <w:szCs w:val="24"/>
              </w:rPr>
              <w:t>1,3 (Одна целая три десятых) процента</w:t>
            </w: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налога на добавленную стоимость) среднегодовой стоимости чистых активов Фонда.</w:t>
            </w:r>
            <w:proofErr w:type="gramEnd"/>
          </w:p>
          <w:p w:rsidR="00B76E8C" w:rsidRDefault="00B76E8C"/>
        </w:tc>
      </w:tr>
      <w:tr w:rsidR="00B76E8C" w:rsidTr="00EA0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8C" w:rsidRPr="001A71DE" w:rsidRDefault="00B76E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24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B76E8C" w:rsidRPr="00F6712B" w:rsidRDefault="00B76E8C" w:rsidP="00B451D1">
            <w:pPr>
              <w:pStyle w:val="ConsPlusNormal"/>
              <w:widowControl/>
              <w:ind w:left="113" w:right="57" w:firstLine="0"/>
              <w:jc w:val="both"/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111. Вознаграждение Управляющей компании выплачивается ежемесячно в течение 15 дней с момента окончания месяца.</w:t>
            </w:r>
          </w:p>
          <w:p w:rsidR="00B76E8C" w:rsidRDefault="00B76E8C"/>
        </w:tc>
        <w:tc>
          <w:tcPr>
            <w:tcW w:w="4448" w:type="dxa"/>
          </w:tcPr>
          <w:p w:rsidR="00000000" w:rsidRDefault="00B76E8C">
            <w:pPr>
              <w:ind w:left="113" w:right="57"/>
            </w:pPr>
            <w:r w:rsidRPr="00B4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111. Вознаграждение Управляющей компании выплачивается ежемесячно в течение </w:t>
            </w:r>
            <w:r w:rsidRPr="00B45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(десять) дней</w:t>
            </w:r>
            <w:r w:rsidRPr="00B4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окончания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6E8C" w:rsidTr="00EA06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8C" w:rsidRPr="001A71DE" w:rsidRDefault="00B76E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24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A71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113. 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</w:t>
            </w:r>
            <w:r w:rsidRPr="00B4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B76E8C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</w:t>
            </w:r>
            <w:proofErr w:type="gramEnd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инвестиционных фондов или владельцев инвестиционных паев по договорам доверительного управления имуществом Фонда;</w:t>
            </w:r>
          </w:p>
          <w:p w:rsidR="00307524" w:rsidRPr="00B451D1" w:rsidRDefault="00307524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10) расходы, связанные с оплатой государственной пошлины при учреждении акционерных обществ, пропорционально приобретаемой доле в уставном капитале акционерного общества;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11) 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Фонда;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12) расходы, связанные с подготовкой, созывом и проведением общих собраний владельцев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</w:t>
            </w:r>
            <w:proofErr w:type="gramEnd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такого собрания;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       13) расходы, связанные с передачей прав и обязанностей новой управляющей компании по решению общего собрания владельцев инвестиционных паев.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      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</w:t>
            </w:r>
            <w:r w:rsidRPr="00B4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собрания, возмещаются за счет имущества, составляющего Фонд.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      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Максимальный размер расходов, подлежащих оплате за счет имущества, составляющего Фонд, составляет 20 (двадцать)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B76E8C" w:rsidRDefault="00B76E8C" w:rsidP="007F4DE7"/>
        </w:tc>
        <w:tc>
          <w:tcPr>
            <w:tcW w:w="4448" w:type="dxa"/>
          </w:tcPr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 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</w:t>
            </w:r>
            <w:r w:rsidRPr="00B4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B76E8C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8) 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</w:t>
            </w:r>
            <w:proofErr w:type="gramEnd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инвестиционных фондов или владельцев инвестиционных паев по договорам доверительного управления имуществом Фонда;</w:t>
            </w:r>
          </w:p>
          <w:p w:rsidR="00307524" w:rsidRPr="00B451D1" w:rsidRDefault="00307524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10) расходы, связанные с оплатой государственной пошлины при учреждении акционерных обществ, пропорционально приобретаемой доле в уставном капитале акционерного общества;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>11) 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Фонда;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FA9">
              <w:rPr>
                <w:rFonts w:ascii="Times New Roman" w:hAnsi="Times New Roman" w:cs="Times New Roman"/>
                <w:sz w:val="24"/>
                <w:szCs w:val="24"/>
              </w:rPr>
              <w:t>12) расходы, связанные с подготовкой, созывом и проведением общих собраний владельцев</w:t>
            </w: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</w:t>
            </w:r>
            <w:proofErr w:type="gramEnd"/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такого собрания;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      13) расходы, связанные с передачей прав и обязанностей новой управляющей компании по решению общего собрания владельцев инвестиционных паев.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      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</w:t>
            </w:r>
            <w:r w:rsidRPr="00B45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собрания, возмещаются за счет имущества, составляющего Фонд.</w:t>
            </w:r>
          </w:p>
          <w:p w:rsidR="00B76E8C" w:rsidRPr="00B451D1" w:rsidRDefault="00B76E8C" w:rsidP="00B451D1">
            <w:pPr>
              <w:pStyle w:val="ConsPlusNormal"/>
              <w:widowControl/>
              <w:ind w:left="113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      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B76E8C" w:rsidRDefault="00B76E8C" w:rsidP="00B451D1">
            <w:pPr>
              <w:pStyle w:val="ConsPlusNormal"/>
              <w:widowControl/>
              <w:ind w:left="113" w:right="57" w:firstLine="0"/>
              <w:jc w:val="both"/>
            </w:pP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      Максимальный размер расходов, подлежащих оплате за счет имущества, составляющего Фонд, составляет </w:t>
            </w:r>
            <w:r w:rsidRPr="00B451D1">
              <w:rPr>
                <w:rFonts w:ascii="Times New Roman" w:hAnsi="Times New Roman" w:cs="Times New Roman"/>
                <w:b/>
                <w:sz w:val="24"/>
                <w:szCs w:val="24"/>
              </w:rPr>
              <w:t>2 (Два) процента</w:t>
            </w:r>
            <w:r w:rsidRPr="00B451D1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</w:tr>
    </w:tbl>
    <w:p w:rsidR="00CD114C" w:rsidRDefault="00CD114C" w:rsidP="00B45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14C" w:rsidRDefault="00CD114C" w:rsidP="00B45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14C" w:rsidRDefault="00CD114C" w:rsidP="00B45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14C" w:rsidRDefault="00CD114C" w:rsidP="00B45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14C" w:rsidRDefault="00B451D1" w:rsidP="00B45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B451D1" w:rsidRDefault="00B451D1" w:rsidP="00B451D1">
      <w:pPr>
        <w:spacing w:after="0"/>
      </w:pPr>
      <w:r w:rsidRPr="00CD164C">
        <w:rPr>
          <w:rFonts w:ascii="Times New Roman" w:hAnsi="Times New Roman" w:cs="Times New Roman"/>
          <w:sz w:val="24"/>
          <w:szCs w:val="24"/>
        </w:rPr>
        <w:t xml:space="preserve">ООО «ЭЛБИ»  </w:t>
      </w:r>
      <w:r w:rsidRPr="00CD164C">
        <w:rPr>
          <w:rFonts w:ascii="Times New Roman" w:hAnsi="Times New Roman" w:cs="Times New Roman"/>
        </w:rPr>
        <w:t xml:space="preserve">          </w:t>
      </w:r>
      <w:r w:rsidR="00B76E8C">
        <w:rPr>
          <w:rFonts w:ascii="Times New Roman" w:hAnsi="Times New Roman" w:cs="Times New Roman"/>
        </w:rPr>
        <w:t xml:space="preserve">    </w:t>
      </w:r>
      <w:r w:rsidR="00CD114C">
        <w:rPr>
          <w:rFonts w:ascii="Times New Roman" w:hAnsi="Times New Roman" w:cs="Times New Roman"/>
        </w:rPr>
        <w:tab/>
      </w:r>
      <w:r w:rsidR="00CD114C">
        <w:rPr>
          <w:rFonts w:ascii="Times New Roman" w:hAnsi="Times New Roman" w:cs="Times New Roman"/>
        </w:rPr>
        <w:tab/>
      </w:r>
      <w:r w:rsidR="00CD114C">
        <w:rPr>
          <w:rFonts w:ascii="Times New Roman" w:hAnsi="Times New Roman" w:cs="Times New Roman"/>
        </w:rPr>
        <w:tab/>
      </w:r>
      <w:r w:rsidR="00B76E8C">
        <w:rPr>
          <w:rFonts w:ascii="Times New Roman" w:hAnsi="Times New Roman" w:cs="Times New Roman"/>
        </w:rPr>
        <w:t xml:space="preserve">                  Э.Ф. </w:t>
      </w:r>
      <w:proofErr w:type="spellStart"/>
      <w:r w:rsidR="00B76E8C">
        <w:rPr>
          <w:rFonts w:ascii="Times New Roman" w:hAnsi="Times New Roman" w:cs="Times New Roman"/>
        </w:rPr>
        <w:t>Шпаковский</w:t>
      </w:r>
      <w:proofErr w:type="spellEnd"/>
      <w:r w:rsidRPr="00CD164C">
        <w:rPr>
          <w:rFonts w:ascii="Times New Roman" w:hAnsi="Times New Roman" w:cs="Times New Roman"/>
        </w:rPr>
        <w:t xml:space="preserve">                     </w:t>
      </w:r>
      <w:r w:rsidR="00CD164C">
        <w:rPr>
          <w:rFonts w:ascii="Times New Roman" w:hAnsi="Times New Roman" w:cs="Times New Roman"/>
        </w:rPr>
        <w:t xml:space="preserve">                    </w:t>
      </w:r>
      <w:r w:rsidRPr="00CD164C">
        <w:rPr>
          <w:rFonts w:ascii="Times New Roman" w:hAnsi="Times New Roman" w:cs="Times New Roman"/>
        </w:rPr>
        <w:t xml:space="preserve">                          </w:t>
      </w:r>
      <w:r w:rsidR="00CD164C" w:rsidRPr="00CD164C">
        <w:rPr>
          <w:rFonts w:ascii="Times New Roman" w:hAnsi="Times New Roman" w:cs="Times New Roman"/>
        </w:rPr>
        <w:t xml:space="preserve">               </w:t>
      </w:r>
      <w:r w:rsidRPr="00CD164C">
        <w:rPr>
          <w:rFonts w:ascii="Times New Roman" w:hAnsi="Times New Roman" w:cs="Times New Roman"/>
        </w:rPr>
        <w:t xml:space="preserve">  </w:t>
      </w:r>
    </w:p>
    <w:sectPr w:rsidR="00B451D1" w:rsidSect="00B76E8C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653B"/>
    <w:multiLevelType w:val="hybridMultilevel"/>
    <w:tmpl w:val="8CBEC1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7F4DE7"/>
    <w:rsid w:val="00000D15"/>
    <w:rsid w:val="00002F1D"/>
    <w:rsid w:val="00017236"/>
    <w:rsid w:val="00022DE0"/>
    <w:rsid w:val="00035A0D"/>
    <w:rsid w:val="00043ABC"/>
    <w:rsid w:val="00071A42"/>
    <w:rsid w:val="000755D4"/>
    <w:rsid w:val="00077199"/>
    <w:rsid w:val="000A4DBF"/>
    <w:rsid w:val="000A7D07"/>
    <w:rsid w:val="000D5349"/>
    <w:rsid w:val="000D7891"/>
    <w:rsid w:val="00120062"/>
    <w:rsid w:val="0014101E"/>
    <w:rsid w:val="00165352"/>
    <w:rsid w:val="001A1847"/>
    <w:rsid w:val="001A20EC"/>
    <w:rsid w:val="001A71DE"/>
    <w:rsid w:val="001B0DDA"/>
    <w:rsid w:val="001B7060"/>
    <w:rsid w:val="001B749E"/>
    <w:rsid w:val="00201DAE"/>
    <w:rsid w:val="00235D8C"/>
    <w:rsid w:val="00253DF6"/>
    <w:rsid w:val="002646E3"/>
    <w:rsid w:val="00293C6F"/>
    <w:rsid w:val="002A0307"/>
    <w:rsid w:val="002A16CE"/>
    <w:rsid w:val="002A2AFE"/>
    <w:rsid w:val="002B66AB"/>
    <w:rsid w:val="002B7F81"/>
    <w:rsid w:val="002C28F5"/>
    <w:rsid w:val="002D3451"/>
    <w:rsid w:val="002D7FF2"/>
    <w:rsid w:val="002E49F2"/>
    <w:rsid w:val="002F2D35"/>
    <w:rsid w:val="00300DEC"/>
    <w:rsid w:val="00303A6C"/>
    <w:rsid w:val="00307524"/>
    <w:rsid w:val="003A6A6C"/>
    <w:rsid w:val="003B5A8A"/>
    <w:rsid w:val="003E010D"/>
    <w:rsid w:val="003E3152"/>
    <w:rsid w:val="003E67C4"/>
    <w:rsid w:val="003E7DD7"/>
    <w:rsid w:val="00402B43"/>
    <w:rsid w:val="004144DC"/>
    <w:rsid w:val="0047512E"/>
    <w:rsid w:val="00485AF7"/>
    <w:rsid w:val="00494816"/>
    <w:rsid w:val="004A76F8"/>
    <w:rsid w:val="004D539A"/>
    <w:rsid w:val="005000FD"/>
    <w:rsid w:val="00502FDF"/>
    <w:rsid w:val="00510326"/>
    <w:rsid w:val="005131FD"/>
    <w:rsid w:val="00516CBD"/>
    <w:rsid w:val="00546403"/>
    <w:rsid w:val="00564725"/>
    <w:rsid w:val="00564D89"/>
    <w:rsid w:val="00567600"/>
    <w:rsid w:val="00586F6F"/>
    <w:rsid w:val="00593A20"/>
    <w:rsid w:val="005B0858"/>
    <w:rsid w:val="005E69D8"/>
    <w:rsid w:val="00606FC2"/>
    <w:rsid w:val="00613A9B"/>
    <w:rsid w:val="0062697F"/>
    <w:rsid w:val="0065361B"/>
    <w:rsid w:val="006808FF"/>
    <w:rsid w:val="00680FF3"/>
    <w:rsid w:val="006855FD"/>
    <w:rsid w:val="006A17D8"/>
    <w:rsid w:val="006A6E3B"/>
    <w:rsid w:val="006A6F3C"/>
    <w:rsid w:val="006E2CB3"/>
    <w:rsid w:val="006E42C8"/>
    <w:rsid w:val="006E6E3C"/>
    <w:rsid w:val="006E6F27"/>
    <w:rsid w:val="006F71BC"/>
    <w:rsid w:val="007045E7"/>
    <w:rsid w:val="007271D4"/>
    <w:rsid w:val="00730724"/>
    <w:rsid w:val="00744753"/>
    <w:rsid w:val="00746DC5"/>
    <w:rsid w:val="007877D9"/>
    <w:rsid w:val="007B4FDB"/>
    <w:rsid w:val="007E25A8"/>
    <w:rsid w:val="007E76F2"/>
    <w:rsid w:val="007F2F98"/>
    <w:rsid w:val="007F33CF"/>
    <w:rsid w:val="007F4DE7"/>
    <w:rsid w:val="00800B27"/>
    <w:rsid w:val="00805084"/>
    <w:rsid w:val="008229A3"/>
    <w:rsid w:val="00831560"/>
    <w:rsid w:val="00841050"/>
    <w:rsid w:val="008415C0"/>
    <w:rsid w:val="0086291B"/>
    <w:rsid w:val="008646CF"/>
    <w:rsid w:val="0087050C"/>
    <w:rsid w:val="008A0F45"/>
    <w:rsid w:val="008B7EBD"/>
    <w:rsid w:val="008C30A4"/>
    <w:rsid w:val="00905828"/>
    <w:rsid w:val="00906E76"/>
    <w:rsid w:val="00923E0B"/>
    <w:rsid w:val="00927084"/>
    <w:rsid w:val="0096674B"/>
    <w:rsid w:val="0098333E"/>
    <w:rsid w:val="0099409B"/>
    <w:rsid w:val="009A6389"/>
    <w:rsid w:val="009A787F"/>
    <w:rsid w:val="009B6EC1"/>
    <w:rsid w:val="009C2D8E"/>
    <w:rsid w:val="009F08F7"/>
    <w:rsid w:val="00A02987"/>
    <w:rsid w:val="00A36F32"/>
    <w:rsid w:val="00A37510"/>
    <w:rsid w:val="00A47D99"/>
    <w:rsid w:val="00A5457C"/>
    <w:rsid w:val="00A651ED"/>
    <w:rsid w:val="00A72C54"/>
    <w:rsid w:val="00A80D1C"/>
    <w:rsid w:val="00A85C7A"/>
    <w:rsid w:val="00AA4F0E"/>
    <w:rsid w:val="00AB567B"/>
    <w:rsid w:val="00AD5D10"/>
    <w:rsid w:val="00AE2BFB"/>
    <w:rsid w:val="00AF781B"/>
    <w:rsid w:val="00B06582"/>
    <w:rsid w:val="00B20FB3"/>
    <w:rsid w:val="00B451D1"/>
    <w:rsid w:val="00B46163"/>
    <w:rsid w:val="00B76E8C"/>
    <w:rsid w:val="00B87C1F"/>
    <w:rsid w:val="00B96219"/>
    <w:rsid w:val="00BA7B8D"/>
    <w:rsid w:val="00BB39CF"/>
    <w:rsid w:val="00BD2257"/>
    <w:rsid w:val="00C037E8"/>
    <w:rsid w:val="00C17CE6"/>
    <w:rsid w:val="00C21B55"/>
    <w:rsid w:val="00C336DE"/>
    <w:rsid w:val="00C338DA"/>
    <w:rsid w:val="00C44DF3"/>
    <w:rsid w:val="00C5217E"/>
    <w:rsid w:val="00C53F1A"/>
    <w:rsid w:val="00C637F8"/>
    <w:rsid w:val="00C806CB"/>
    <w:rsid w:val="00C9035A"/>
    <w:rsid w:val="00C90925"/>
    <w:rsid w:val="00C9210C"/>
    <w:rsid w:val="00CA0EC8"/>
    <w:rsid w:val="00CA109E"/>
    <w:rsid w:val="00CA57F6"/>
    <w:rsid w:val="00CC10EC"/>
    <w:rsid w:val="00CD114C"/>
    <w:rsid w:val="00CD164C"/>
    <w:rsid w:val="00CD771C"/>
    <w:rsid w:val="00D00101"/>
    <w:rsid w:val="00D12DBA"/>
    <w:rsid w:val="00D55BB0"/>
    <w:rsid w:val="00D62818"/>
    <w:rsid w:val="00D71EEF"/>
    <w:rsid w:val="00D7253F"/>
    <w:rsid w:val="00D7257F"/>
    <w:rsid w:val="00D755C1"/>
    <w:rsid w:val="00D758BF"/>
    <w:rsid w:val="00D77024"/>
    <w:rsid w:val="00D8269D"/>
    <w:rsid w:val="00D959BC"/>
    <w:rsid w:val="00DA19AD"/>
    <w:rsid w:val="00DA6DB6"/>
    <w:rsid w:val="00DB0E8E"/>
    <w:rsid w:val="00DB2CE1"/>
    <w:rsid w:val="00DB61A7"/>
    <w:rsid w:val="00DC5DB1"/>
    <w:rsid w:val="00DD07B0"/>
    <w:rsid w:val="00DE2AEA"/>
    <w:rsid w:val="00DF1274"/>
    <w:rsid w:val="00DF448B"/>
    <w:rsid w:val="00DF4580"/>
    <w:rsid w:val="00E03CC0"/>
    <w:rsid w:val="00E11BF0"/>
    <w:rsid w:val="00E1402A"/>
    <w:rsid w:val="00EA06B1"/>
    <w:rsid w:val="00EB1A27"/>
    <w:rsid w:val="00EB77A6"/>
    <w:rsid w:val="00EC6E44"/>
    <w:rsid w:val="00EE20CD"/>
    <w:rsid w:val="00EF52FA"/>
    <w:rsid w:val="00EF5CAB"/>
    <w:rsid w:val="00F013C1"/>
    <w:rsid w:val="00F03ACA"/>
    <w:rsid w:val="00F139C4"/>
    <w:rsid w:val="00F249E7"/>
    <w:rsid w:val="00F37DA3"/>
    <w:rsid w:val="00F47400"/>
    <w:rsid w:val="00F548B2"/>
    <w:rsid w:val="00F54C69"/>
    <w:rsid w:val="00F56038"/>
    <w:rsid w:val="00F9086D"/>
    <w:rsid w:val="00FB373C"/>
    <w:rsid w:val="00FD49B1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F4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7F4DE7"/>
    <w:pPr>
      <w:spacing w:after="120" w:line="240" w:lineRule="auto"/>
      <w:ind w:left="357" w:firstLine="36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F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Num">
    <w:name w:val="Body Num"/>
    <w:basedOn w:val="a"/>
    <w:rsid w:val="007F4DE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">
    <w:name w:val="Blue"/>
    <w:basedOn w:val="a0"/>
    <w:rsid w:val="007F4DE7"/>
    <w:rPr>
      <w:rFonts w:cs="Times New Roman"/>
      <w:color w:val="0000FF"/>
    </w:rPr>
  </w:style>
  <w:style w:type="paragraph" w:styleId="a4">
    <w:name w:val="List Paragraph"/>
    <w:basedOn w:val="a"/>
    <w:uiPriority w:val="34"/>
    <w:qFormat/>
    <w:rsid w:val="007F4DE7"/>
    <w:pPr>
      <w:ind w:left="720"/>
      <w:contextualSpacing/>
    </w:pPr>
  </w:style>
  <w:style w:type="paragraph" w:customStyle="1" w:styleId="ConsPlusNormal">
    <w:name w:val="ConsPlusNormal"/>
    <w:rsid w:val="007F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xs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nillable="true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Действующая редакция</Статус_x0020_документа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DD4D-C17C-4132-A5F4-EFD83CD4E3F9}"/>
</file>

<file path=customXml/itemProps2.xml><?xml version="1.0" encoding="utf-8"?>
<ds:datastoreItem xmlns:ds="http://schemas.openxmlformats.org/officeDocument/2006/customXml" ds:itemID="{9A45585B-E2D7-45D3-AF6E-0C0D7914166A}"/>
</file>

<file path=customXml/itemProps3.xml><?xml version="1.0" encoding="utf-8"?>
<ds:datastoreItem xmlns:ds="http://schemas.openxmlformats.org/officeDocument/2006/customXml" ds:itemID="{9CD70F75-ACF2-45AF-BBF5-7CD4D39FE4C3}"/>
</file>

<file path=customXml/itemProps4.xml><?xml version="1.0" encoding="utf-8"?>
<ds:datastoreItem xmlns:ds="http://schemas.openxmlformats.org/officeDocument/2006/customXml" ds:itemID="{2B035E31-F10E-42C0-A66E-E471BA18B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malyhina</cp:lastModifiedBy>
  <cp:revision>2</cp:revision>
  <cp:lastPrinted>2011-10-03T11:23:00Z</cp:lastPrinted>
  <dcterms:created xsi:type="dcterms:W3CDTF">2011-11-16T06:26:00Z</dcterms:created>
  <dcterms:modified xsi:type="dcterms:W3CDTF">2011-11-16T06:26:00Z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0x0101009041C93788FC7B4293877AA1D1FDF4E4</vt:lpwstr>
  </property>
</Properties>
</file>