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7A" w:rsidRPr="007A1CE9" w:rsidRDefault="0025607A">
      <w:pPr>
        <w:widowControl w:val="0"/>
        <w:spacing w:line="240" w:lineRule="atLeast"/>
        <w:jc w:val="center"/>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Default="0025607A">
      <w:pPr>
        <w:widowControl w:val="0"/>
        <w:spacing w:line="240" w:lineRule="atLeast"/>
        <w:jc w:val="center"/>
        <w:rPr>
          <w:rFonts w:ascii="Verdana" w:hAnsi="Verdana" w:cs="Verdana"/>
          <w:b/>
          <w:bCs/>
          <w:sz w:val="18"/>
          <w:szCs w:val="18"/>
        </w:rPr>
      </w:pPr>
    </w:p>
    <w:p w:rsidR="00604F09" w:rsidRPr="007A1CE9" w:rsidRDefault="00604F09">
      <w:pPr>
        <w:widowControl w:val="0"/>
        <w:spacing w:line="240" w:lineRule="atLeast"/>
        <w:jc w:val="center"/>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Pr="007A1CE9" w:rsidRDefault="0025607A" w:rsidP="003F753C">
      <w:pPr>
        <w:widowControl w:val="0"/>
        <w:spacing w:line="240" w:lineRule="atLeast"/>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p>
    <w:p w:rsidR="0025607A" w:rsidRPr="007A1CE9" w:rsidRDefault="0025607A">
      <w:pPr>
        <w:widowControl w:val="0"/>
        <w:spacing w:line="240" w:lineRule="atLeast"/>
        <w:jc w:val="center"/>
        <w:rPr>
          <w:rFonts w:ascii="Verdana" w:hAnsi="Verdana" w:cs="Verdana"/>
          <w:b/>
          <w:bCs/>
          <w:sz w:val="18"/>
          <w:szCs w:val="18"/>
        </w:rPr>
      </w:pPr>
      <w:r w:rsidRPr="007A1CE9">
        <w:rPr>
          <w:rFonts w:ascii="Verdana" w:hAnsi="Verdana" w:cs="Verdana"/>
          <w:b/>
          <w:bCs/>
          <w:sz w:val="18"/>
          <w:szCs w:val="18"/>
        </w:rPr>
        <w:t>ИЗМЕНЕНИЯ И ДОПОЛНЕНИЯ</w:t>
      </w:r>
    </w:p>
    <w:p w:rsidR="0025607A" w:rsidRPr="007A1CE9" w:rsidRDefault="0025607A">
      <w:pPr>
        <w:widowControl w:val="0"/>
        <w:spacing w:line="240" w:lineRule="atLeast"/>
        <w:jc w:val="center"/>
        <w:rPr>
          <w:rFonts w:ascii="Verdana" w:hAnsi="Verdana" w:cs="Verdana"/>
          <w:b/>
          <w:bCs/>
          <w:sz w:val="18"/>
          <w:szCs w:val="18"/>
        </w:rPr>
      </w:pPr>
      <w:r w:rsidRPr="007A1CE9">
        <w:rPr>
          <w:rFonts w:ascii="Verdana" w:hAnsi="Verdana" w:cs="Verdana"/>
          <w:b/>
          <w:bCs/>
          <w:sz w:val="18"/>
          <w:szCs w:val="18"/>
        </w:rPr>
        <w:t xml:space="preserve">в Правила доверительного управления </w:t>
      </w:r>
    </w:p>
    <w:p w:rsidR="0025607A" w:rsidRPr="007A1CE9" w:rsidRDefault="00B95A18">
      <w:pPr>
        <w:widowControl w:val="0"/>
        <w:spacing w:line="240" w:lineRule="atLeast"/>
        <w:jc w:val="center"/>
        <w:rPr>
          <w:rFonts w:ascii="Verdana" w:hAnsi="Verdana" w:cs="Verdana"/>
          <w:b/>
          <w:bCs/>
          <w:sz w:val="18"/>
          <w:szCs w:val="18"/>
        </w:rPr>
      </w:pPr>
      <w:r>
        <w:rPr>
          <w:rFonts w:ascii="Verdana" w:hAnsi="Verdana" w:cs="Verdana"/>
          <w:b/>
          <w:bCs/>
          <w:sz w:val="18"/>
          <w:szCs w:val="18"/>
        </w:rPr>
        <w:t>открыт</w:t>
      </w:r>
      <w:r w:rsidR="0025607A" w:rsidRPr="007A1CE9">
        <w:rPr>
          <w:rFonts w:ascii="Verdana" w:hAnsi="Verdana" w:cs="Verdana"/>
          <w:b/>
          <w:bCs/>
          <w:sz w:val="18"/>
          <w:szCs w:val="18"/>
        </w:rPr>
        <w:t xml:space="preserve">ым паевым инвестиционным фондом </w:t>
      </w:r>
      <w:r>
        <w:rPr>
          <w:rFonts w:ascii="Verdana" w:hAnsi="Verdana" w:cs="Verdana"/>
          <w:b/>
          <w:bCs/>
          <w:sz w:val="18"/>
          <w:szCs w:val="18"/>
        </w:rPr>
        <w:t>фондов</w:t>
      </w:r>
    </w:p>
    <w:p w:rsidR="0025607A" w:rsidRDefault="0025607A" w:rsidP="00281408">
      <w:pPr>
        <w:widowControl w:val="0"/>
        <w:spacing w:line="240" w:lineRule="atLeast"/>
        <w:jc w:val="center"/>
        <w:rPr>
          <w:rFonts w:ascii="Verdana" w:hAnsi="Verdana" w:cs="Verdana"/>
          <w:b/>
          <w:bCs/>
          <w:sz w:val="18"/>
          <w:szCs w:val="18"/>
        </w:rPr>
      </w:pPr>
      <w:r w:rsidRPr="007A1CE9">
        <w:rPr>
          <w:rFonts w:ascii="Verdana" w:hAnsi="Verdana" w:cs="Verdana"/>
          <w:b/>
          <w:bCs/>
          <w:sz w:val="18"/>
          <w:szCs w:val="18"/>
        </w:rPr>
        <w:t>«</w:t>
      </w:r>
      <w:r w:rsidR="00B95A18">
        <w:rPr>
          <w:rFonts w:ascii="Verdana" w:hAnsi="Verdana" w:cs="Verdana"/>
          <w:b/>
          <w:bCs/>
          <w:sz w:val="18"/>
          <w:szCs w:val="18"/>
        </w:rPr>
        <w:t>Паевые фонды России</w:t>
      </w:r>
      <w:r w:rsidRPr="007A1CE9">
        <w:rPr>
          <w:rFonts w:ascii="Verdana" w:hAnsi="Verdana" w:cs="Verdana"/>
          <w:b/>
          <w:bCs/>
          <w:sz w:val="18"/>
          <w:szCs w:val="18"/>
        </w:rPr>
        <w:t>»</w:t>
      </w:r>
    </w:p>
    <w:p w:rsidR="00C42A96" w:rsidRPr="007A1CE9" w:rsidRDefault="00182DD0">
      <w:pPr>
        <w:widowControl w:val="0"/>
        <w:spacing w:line="240" w:lineRule="atLeast"/>
        <w:jc w:val="center"/>
        <w:rPr>
          <w:rFonts w:ascii="Verdana" w:hAnsi="Verdana" w:cs="Verdana"/>
          <w:b/>
          <w:bCs/>
          <w:sz w:val="18"/>
          <w:szCs w:val="18"/>
        </w:rPr>
      </w:pPr>
      <w:r>
        <w:rPr>
          <w:rFonts w:ascii="Verdana" w:hAnsi="Verdana" w:cs="Verdana"/>
          <w:b/>
          <w:bCs/>
          <w:sz w:val="18"/>
          <w:szCs w:val="18"/>
        </w:rPr>
        <w:t>(зарегистрированы</w:t>
      </w:r>
      <w:r w:rsidR="00C42A96">
        <w:rPr>
          <w:rFonts w:ascii="Verdana" w:hAnsi="Verdana" w:cs="Verdana"/>
          <w:b/>
          <w:bCs/>
          <w:sz w:val="18"/>
          <w:szCs w:val="18"/>
        </w:rPr>
        <w:t xml:space="preserve"> </w:t>
      </w:r>
      <w:r w:rsidR="00962DA3">
        <w:rPr>
          <w:rFonts w:ascii="Verdana" w:hAnsi="Verdana" w:cs="Verdana"/>
          <w:b/>
          <w:bCs/>
          <w:sz w:val="18"/>
          <w:szCs w:val="18"/>
        </w:rPr>
        <w:t xml:space="preserve">ФСФР России </w:t>
      </w:r>
      <w:r w:rsidR="00587CCA">
        <w:rPr>
          <w:rFonts w:ascii="Verdana" w:hAnsi="Verdana" w:cs="Verdana"/>
          <w:b/>
          <w:bCs/>
          <w:sz w:val="18"/>
          <w:szCs w:val="18"/>
        </w:rPr>
        <w:t xml:space="preserve">23 июня 2004 года за </w:t>
      </w:r>
      <w:r w:rsidR="00C42A96">
        <w:rPr>
          <w:rFonts w:ascii="Verdana" w:hAnsi="Verdana" w:cs="Verdana"/>
          <w:b/>
          <w:bCs/>
          <w:sz w:val="18"/>
          <w:szCs w:val="18"/>
        </w:rPr>
        <w:t>№ 0222-58234435)</w:t>
      </w:r>
    </w:p>
    <w:p w:rsidR="0025607A" w:rsidRPr="007A1CE9" w:rsidRDefault="0025607A">
      <w:pPr>
        <w:rPr>
          <w:rFonts w:ascii="Verdana" w:hAnsi="Verdana" w:cs="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5211"/>
      </w:tblGrid>
      <w:tr w:rsidR="0025607A" w:rsidRPr="00CF3829">
        <w:tblPrEx>
          <w:tblCellMar>
            <w:top w:w="0" w:type="dxa"/>
            <w:bottom w:w="0" w:type="dxa"/>
          </w:tblCellMar>
        </w:tblPrEx>
        <w:tc>
          <w:tcPr>
            <w:tcW w:w="5211" w:type="dxa"/>
          </w:tcPr>
          <w:p w:rsidR="0025607A" w:rsidRPr="00CF3829" w:rsidRDefault="0025607A">
            <w:pPr>
              <w:pStyle w:val="a3"/>
              <w:spacing w:line="240" w:lineRule="auto"/>
              <w:rPr>
                <w:rFonts w:ascii="Verdana" w:hAnsi="Verdana" w:cs="Verdana"/>
                <w:b/>
                <w:bCs/>
                <w:sz w:val="18"/>
                <w:szCs w:val="18"/>
              </w:rPr>
            </w:pPr>
            <w:r w:rsidRPr="00CF3829">
              <w:rPr>
                <w:rFonts w:ascii="Verdana" w:hAnsi="Verdana" w:cs="Verdana"/>
                <w:b/>
                <w:bCs/>
                <w:sz w:val="18"/>
                <w:szCs w:val="18"/>
              </w:rPr>
              <w:t>Старая редакция</w:t>
            </w:r>
          </w:p>
        </w:tc>
        <w:tc>
          <w:tcPr>
            <w:tcW w:w="5211" w:type="dxa"/>
          </w:tcPr>
          <w:p w:rsidR="0025607A" w:rsidRPr="00CF3829" w:rsidRDefault="0025607A">
            <w:pPr>
              <w:pStyle w:val="1"/>
              <w:spacing w:line="240" w:lineRule="auto"/>
              <w:jc w:val="left"/>
              <w:rPr>
                <w:rFonts w:ascii="Verdana" w:hAnsi="Verdana" w:cs="Verdana"/>
                <w:sz w:val="18"/>
                <w:szCs w:val="18"/>
              </w:rPr>
            </w:pPr>
            <w:r w:rsidRPr="00CF3829">
              <w:rPr>
                <w:rFonts w:ascii="Verdana" w:hAnsi="Verdana" w:cs="Verdana"/>
                <w:sz w:val="18"/>
                <w:szCs w:val="18"/>
              </w:rPr>
              <w:t>Новая редакция</w:t>
            </w:r>
          </w:p>
        </w:tc>
      </w:tr>
      <w:tr w:rsidR="00F02AA7" w:rsidRPr="004D68FB">
        <w:tblPrEx>
          <w:tblCellMar>
            <w:top w:w="0" w:type="dxa"/>
            <w:bottom w:w="0" w:type="dxa"/>
          </w:tblCellMar>
        </w:tblPrEx>
        <w:tc>
          <w:tcPr>
            <w:tcW w:w="5211" w:type="dxa"/>
          </w:tcPr>
          <w:p w:rsidR="001A4D90" w:rsidRPr="001A4D90" w:rsidRDefault="001A4D90" w:rsidP="001A4D90">
            <w:pPr>
              <w:ind w:firstLine="540"/>
              <w:jc w:val="both"/>
              <w:rPr>
                <w:rFonts w:ascii="Verdana" w:hAnsi="Verdana"/>
                <w:sz w:val="18"/>
                <w:szCs w:val="18"/>
              </w:rPr>
            </w:pPr>
            <w:r w:rsidRPr="001A4D90">
              <w:rPr>
                <w:rFonts w:ascii="Verdana" w:hAnsi="Verdana"/>
                <w:sz w:val="18"/>
                <w:szCs w:val="18"/>
              </w:rPr>
              <w:t>1. Полное название паевого инвестиционного фонда (далее - фонд):</w:t>
            </w:r>
          </w:p>
          <w:p w:rsidR="001A4D90" w:rsidRPr="001A4D90" w:rsidRDefault="001A4D90" w:rsidP="001A4D90">
            <w:pPr>
              <w:ind w:firstLine="540"/>
              <w:jc w:val="both"/>
              <w:rPr>
                <w:rFonts w:ascii="Verdana" w:hAnsi="Verdana"/>
                <w:sz w:val="18"/>
                <w:szCs w:val="18"/>
              </w:rPr>
            </w:pPr>
            <w:r w:rsidRPr="001A4D90">
              <w:rPr>
                <w:rFonts w:ascii="Verdana" w:hAnsi="Verdana"/>
                <w:sz w:val="18"/>
                <w:szCs w:val="18"/>
              </w:rPr>
              <w:t>Открытый паевой инвестиционный фонд фондов «Паевые фонды России».</w:t>
            </w:r>
          </w:p>
          <w:p w:rsidR="00F02AA7" w:rsidRPr="00CF3829" w:rsidRDefault="00F02AA7" w:rsidP="006C3740">
            <w:pPr>
              <w:rPr>
                <w:rFonts w:ascii="Verdana" w:hAnsi="Verdana" w:cs="Verdana"/>
                <w:sz w:val="18"/>
                <w:szCs w:val="18"/>
              </w:rPr>
            </w:pPr>
          </w:p>
        </w:tc>
        <w:tc>
          <w:tcPr>
            <w:tcW w:w="5211" w:type="dxa"/>
          </w:tcPr>
          <w:p w:rsidR="001A4D90" w:rsidRPr="001A4D90" w:rsidRDefault="001A4D90" w:rsidP="001A4D90">
            <w:pPr>
              <w:ind w:firstLine="425"/>
              <w:rPr>
                <w:rFonts w:ascii="Verdana" w:hAnsi="Verdana" w:cs="Verdana"/>
                <w:sz w:val="18"/>
                <w:szCs w:val="18"/>
              </w:rPr>
            </w:pPr>
            <w:r w:rsidRPr="001A4D90">
              <w:rPr>
                <w:rFonts w:ascii="Verdana" w:hAnsi="Verdana" w:cs="Verdana"/>
                <w:sz w:val="18"/>
                <w:szCs w:val="18"/>
              </w:rPr>
              <w:t>1. Полное название паевого инвестиционного фонда (далее - фонд): Открытый паевой инвестиционный фонд фондов «Центр Высоких Технологий».</w:t>
            </w:r>
          </w:p>
          <w:p w:rsidR="001A4D90" w:rsidRPr="001A4D90" w:rsidRDefault="001A4D90" w:rsidP="001A4D90">
            <w:pPr>
              <w:ind w:firstLine="425"/>
              <w:rPr>
                <w:rFonts w:ascii="Verdana" w:hAnsi="Verdana" w:cs="Verdana"/>
                <w:sz w:val="18"/>
                <w:szCs w:val="18"/>
                <w:lang w:val="en-US"/>
              </w:rPr>
            </w:pPr>
            <w:r w:rsidRPr="001A4D90">
              <w:rPr>
                <w:rFonts w:ascii="Verdana" w:hAnsi="Verdana" w:cs="Verdana"/>
                <w:sz w:val="18"/>
                <w:szCs w:val="18"/>
              </w:rPr>
              <w:t>На</w:t>
            </w:r>
            <w:r w:rsidRPr="001A4D90">
              <w:rPr>
                <w:rFonts w:ascii="Verdana" w:hAnsi="Verdana" w:cs="Verdana"/>
                <w:sz w:val="18"/>
                <w:szCs w:val="18"/>
                <w:lang w:val="en-US"/>
              </w:rPr>
              <w:t xml:space="preserve"> </w:t>
            </w:r>
            <w:r w:rsidRPr="001A4D90">
              <w:rPr>
                <w:rFonts w:ascii="Verdana" w:hAnsi="Verdana" w:cs="Verdana"/>
                <w:sz w:val="18"/>
                <w:szCs w:val="18"/>
              </w:rPr>
              <w:t>английском</w:t>
            </w:r>
            <w:r w:rsidRPr="001A4D90">
              <w:rPr>
                <w:rFonts w:ascii="Verdana" w:hAnsi="Verdana" w:cs="Verdana"/>
                <w:sz w:val="18"/>
                <w:szCs w:val="18"/>
                <w:lang w:val="en-US"/>
              </w:rPr>
              <w:t xml:space="preserve"> </w:t>
            </w:r>
            <w:r w:rsidRPr="001A4D90">
              <w:rPr>
                <w:rFonts w:ascii="Verdana" w:hAnsi="Verdana" w:cs="Verdana"/>
                <w:sz w:val="18"/>
                <w:szCs w:val="18"/>
              </w:rPr>
              <w:t>языке</w:t>
            </w:r>
            <w:r w:rsidRPr="001A4D90">
              <w:rPr>
                <w:rFonts w:ascii="Verdana" w:hAnsi="Verdana" w:cs="Verdana"/>
                <w:sz w:val="18"/>
                <w:szCs w:val="18"/>
                <w:lang w:val="en-US"/>
              </w:rPr>
              <w:t xml:space="preserve"> – «High-Tech Center» Open Unit Investment Fund of Funds</w:t>
            </w:r>
          </w:p>
          <w:p w:rsidR="00A67DFD" w:rsidRPr="004D68FB" w:rsidRDefault="00A67DFD" w:rsidP="007063B5">
            <w:pPr>
              <w:jc w:val="both"/>
              <w:rPr>
                <w:rFonts w:ascii="Verdana" w:hAnsi="Verdana" w:cs="Verdana"/>
                <w:b/>
                <w:bCs/>
                <w:sz w:val="18"/>
                <w:szCs w:val="18"/>
                <w:lang w:val="en-US"/>
              </w:rPr>
            </w:pPr>
          </w:p>
        </w:tc>
      </w:tr>
      <w:tr w:rsidR="00A67DFD" w:rsidRPr="00CF3829">
        <w:tblPrEx>
          <w:tblCellMar>
            <w:top w:w="0" w:type="dxa"/>
            <w:bottom w:w="0" w:type="dxa"/>
          </w:tblCellMar>
        </w:tblPrEx>
        <w:tc>
          <w:tcPr>
            <w:tcW w:w="5211" w:type="dxa"/>
          </w:tcPr>
          <w:p w:rsidR="0005439E" w:rsidRPr="002765DB" w:rsidRDefault="0005439E" w:rsidP="0005439E">
            <w:pPr>
              <w:ind w:firstLine="540"/>
              <w:rPr>
                <w:rFonts w:ascii="Verdana" w:hAnsi="Verdana"/>
              </w:rPr>
            </w:pPr>
            <w:r w:rsidRPr="002765DB">
              <w:rPr>
                <w:rFonts w:ascii="Verdana" w:hAnsi="Verdana"/>
              </w:rPr>
              <w:t>2. Краткое название фонда: ОПИФФ «Паевые фонды России».</w:t>
            </w:r>
            <w:bookmarkStart w:id="0" w:name="p_2"/>
            <w:bookmarkEnd w:id="0"/>
          </w:p>
          <w:p w:rsidR="00A67DFD" w:rsidRPr="00CF3829" w:rsidRDefault="00A67DFD" w:rsidP="006C3740">
            <w:pPr>
              <w:rPr>
                <w:rFonts w:ascii="Verdana" w:hAnsi="Verdana" w:cs="Verdana"/>
                <w:sz w:val="18"/>
                <w:szCs w:val="18"/>
              </w:rPr>
            </w:pPr>
          </w:p>
        </w:tc>
        <w:tc>
          <w:tcPr>
            <w:tcW w:w="5211" w:type="dxa"/>
          </w:tcPr>
          <w:p w:rsidR="0005439E" w:rsidRPr="00D52022" w:rsidRDefault="0005439E" w:rsidP="0005439E">
            <w:pPr>
              <w:ind w:firstLine="425"/>
              <w:rPr>
                <w:rFonts w:ascii="Verdana" w:hAnsi="Verdana" w:cs="Verdana"/>
              </w:rPr>
            </w:pPr>
            <w:r w:rsidRPr="00D52022">
              <w:rPr>
                <w:rFonts w:ascii="Verdana" w:hAnsi="Verdana" w:cs="Verdana"/>
              </w:rPr>
              <w:t xml:space="preserve">2. Краткое название фонда: ОПИФ фондов  </w:t>
            </w:r>
            <w:r>
              <w:rPr>
                <w:rFonts w:ascii="Verdana" w:hAnsi="Verdana" w:cs="Verdana"/>
              </w:rPr>
              <w:t>«Центр Высоких Технологий»</w:t>
            </w:r>
          </w:p>
          <w:p w:rsidR="00A67DFD" w:rsidRPr="00CF3829" w:rsidRDefault="00A67DFD" w:rsidP="00F02AA7">
            <w:pPr>
              <w:rPr>
                <w:rFonts w:ascii="Verdana" w:hAnsi="Verdana" w:cs="Verdana"/>
                <w:sz w:val="18"/>
                <w:szCs w:val="18"/>
              </w:rPr>
            </w:pPr>
          </w:p>
        </w:tc>
      </w:tr>
      <w:tr w:rsidR="00F02AA7" w:rsidRPr="00CF3829">
        <w:tblPrEx>
          <w:tblCellMar>
            <w:top w:w="0" w:type="dxa"/>
            <w:bottom w:w="0" w:type="dxa"/>
          </w:tblCellMar>
        </w:tblPrEx>
        <w:tc>
          <w:tcPr>
            <w:tcW w:w="5211" w:type="dxa"/>
          </w:tcPr>
          <w:p w:rsidR="0086084A" w:rsidRPr="002765DB" w:rsidRDefault="0086084A" w:rsidP="0086084A">
            <w:pPr>
              <w:ind w:firstLine="540"/>
              <w:rPr>
                <w:rFonts w:ascii="Verdana" w:hAnsi="Verdana"/>
              </w:rPr>
            </w:pPr>
            <w:r w:rsidRPr="002765DB">
              <w:rPr>
                <w:rFonts w:ascii="Verdana" w:hAnsi="Verdana"/>
              </w:rPr>
              <w:t xml:space="preserve">5. Место нахождения управляющей компании: Российская Федерация, </w:t>
            </w:r>
            <w:smartTag w:uri="urn:schemas-microsoft-com:office:smarttags" w:element="metricconverter">
              <w:smartTagPr>
                <w:attr w:name="ProductID" w:val="191186, г"/>
              </w:smartTagPr>
              <w:r w:rsidRPr="002765DB">
                <w:rPr>
                  <w:rFonts w:ascii="Verdana" w:hAnsi="Verdana"/>
                </w:rPr>
                <w:t>191186, г</w:t>
              </w:r>
            </w:smartTag>
            <w:r w:rsidRPr="002765DB">
              <w:rPr>
                <w:rFonts w:ascii="Verdana" w:hAnsi="Verdana"/>
              </w:rPr>
              <w:t xml:space="preserve">. Санкт-Петербург, ул. Миллионная, 8. </w:t>
            </w:r>
          </w:p>
          <w:p w:rsidR="00F02AA7" w:rsidRPr="00CF3829" w:rsidRDefault="00F02AA7" w:rsidP="006C3740">
            <w:pPr>
              <w:rPr>
                <w:rFonts w:ascii="Verdana" w:hAnsi="Verdana" w:cs="Verdana"/>
                <w:sz w:val="18"/>
                <w:szCs w:val="18"/>
              </w:rPr>
            </w:pPr>
          </w:p>
        </w:tc>
        <w:tc>
          <w:tcPr>
            <w:tcW w:w="5211" w:type="dxa"/>
          </w:tcPr>
          <w:p w:rsidR="0086084A" w:rsidRPr="00D52022" w:rsidRDefault="0086084A" w:rsidP="0086084A">
            <w:pPr>
              <w:ind w:firstLine="425"/>
              <w:rPr>
                <w:rFonts w:ascii="Verdana" w:hAnsi="Verdana" w:cs="Verdana"/>
              </w:rPr>
            </w:pPr>
            <w:r w:rsidRPr="00D52022">
              <w:rPr>
                <w:rFonts w:ascii="Verdana" w:hAnsi="Verdana" w:cs="Verdana"/>
              </w:rPr>
              <w:t>5. Место нахождения управляющей компании: Российская Федерация, 195220, Санкт-Петербург, пр. Непокоренных, д. 17, к.4, лит.В.</w:t>
            </w:r>
          </w:p>
          <w:p w:rsidR="00F02AA7" w:rsidRPr="00CF3829" w:rsidRDefault="00F02AA7" w:rsidP="00496BEC">
            <w:pPr>
              <w:pStyle w:val="3"/>
              <w:spacing w:after="0" w:line="240" w:lineRule="atLeast"/>
              <w:ind w:right="-1"/>
              <w:jc w:val="both"/>
              <w:rPr>
                <w:rFonts w:ascii="Verdana" w:hAnsi="Verdana" w:cs="Verdana"/>
                <w:sz w:val="18"/>
                <w:szCs w:val="18"/>
              </w:rPr>
            </w:pPr>
          </w:p>
        </w:tc>
      </w:tr>
      <w:tr w:rsidR="00F02AA7" w:rsidRPr="00CF3829">
        <w:tblPrEx>
          <w:tblCellMar>
            <w:top w:w="0" w:type="dxa"/>
            <w:bottom w:w="0" w:type="dxa"/>
          </w:tblCellMar>
        </w:tblPrEx>
        <w:tc>
          <w:tcPr>
            <w:tcW w:w="5211" w:type="dxa"/>
          </w:tcPr>
          <w:p w:rsidR="001208ED" w:rsidRPr="0048377D" w:rsidRDefault="001208ED" w:rsidP="001208ED">
            <w:pPr>
              <w:ind w:firstLine="360"/>
              <w:rPr>
                <w:rFonts w:ascii="Verdana" w:hAnsi="Verdana" w:cs="Verdana"/>
              </w:rPr>
            </w:pPr>
            <w:r>
              <w:rPr>
                <w:rFonts w:ascii="Verdana" w:hAnsi="Verdana" w:cs="Verdana"/>
              </w:rPr>
              <w:t>23.</w:t>
            </w:r>
            <w:r w:rsidRPr="001B249A">
              <w:rPr>
                <w:rFonts w:ascii="Verdana" w:hAnsi="Verdana" w:cs="Verdana"/>
              </w:rPr>
              <w:t>1</w:t>
            </w:r>
            <w:r w:rsidRPr="00AC3A1F">
              <w:rPr>
                <w:rFonts w:ascii="Verdana" w:hAnsi="Verdana" w:cs="Verdana"/>
              </w:rPr>
              <w:t xml:space="preserve">. </w:t>
            </w:r>
            <w:r w:rsidRPr="000A35E6">
              <w:rPr>
                <w:rFonts w:ascii="Verdana" w:hAnsi="Verdana" w:cs="Verdana"/>
              </w:rPr>
              <w:t>Имущество, составляющее фонд, может быть инвестировано в</w:t>
            </w:r>
            <w:r w:rsidRPr="0048377D">
              <w:rPr>
                <w:rFonts w:ascii="Verdana" w:hAnsi="Verdana" w:cs="Verdana"/>
              </w:rPr>
              <w:t>:</w:t>
            </w:r>
          </w:p>
          <w:p w:rsidR="001208ED" w:rsidRPr="00755FC7" w:rsidRDefault="001208ED" w:rsidP="001208ED">
            <w:pPr>
              <w:ind w:firstLine="540"/>
              <w:rPr>
                <w:rFonts w:ascii="Verdana" w:hAnsi="Verdana" w:cs="Verdana"/>
              </w:rPr>
            </w:pPr>
            <w:r w:rsidRPr="000A35E6">
              <w:rPr>
                <w:rFonts w:ascii="Verdana" w:hAnsi="Verdana" w:cs="Verdana"/>
              </w:rPr>
              <w:t xml:space="preserve"> </w:t>
            </w:r>
            <w:bookmarkStart w:id="1" w:name="p_28"/>
            <w:bookmarkEnd w:id="1"/>
            <w:r w:rsidRPr="000A35E6">
              <w:rPr>
                <w:rFonts w:ascii="Verdana" w:hAnsi="Verdana" w:cs="Verdana"/>
                <w:color w:val="000000"/>
              </w:rPr>
              <w:t xml:space="preserve">1) денежные </w:t>
            </w:r>
            <w:r w:rsidRPr="00755FC7">
              <w:rPr>
                <w:rFonts w:ascii="Verdana" w:hAnsi="Verdana" w:cs="Verdana"/>
              </w:rPr>
              <w:t>средства, в том числе иностранная валюта, на счетах и во вкладах в кредитных организациях;</w:t>
            </w:r>
          </w:p>
          <w:p w:rsidR="001208ED" w:rsidRPr="00755FC7" w:rsidRDefault="001208ED" w:rsidP="001208ED">
            <w:pPr>
              <w:ind w:firstLine="540"/>
              <w:rPr>
                <w:rFonts w:ascii="Verdana" w:hAnsi="Verdana" w:cs="Verdana"/>
              </w:rPr>
            </w:pPr>
            <w:r w:rsidRPr="00755FC7">
              <w:rPr>
                <w:rFonts w:ascii="Verdana" w:hAnsi="Verdana" w:cs="Verdana"/>
              </w:rPr>
              <w:t>2) долговые инструменты;</w:t>
            </w:r>
          </w:p>
          <w:p w:rsidR="001208ED" w:rsidRPr="00755FC7" w:rsidRDefault="001208ED" w:rsidP="001208ED">
            <w:pPr>
              <w:ind w:firstLine="540"/>
              <w:rPr>
                <w:rFonts w:ascii="Verdana" w:hAnsi="Verdana" w:cs="Verdana"/>
              </w:rPr>
            </w:pPr>
            <w:r w:rsidRPr="00755FC7">
              <w:rPr>
                <w:rFonts w:ascii="Verdana" w:hAnsi="Verdana" w:cs="Verdana"/>
              </w:rPr>
              <w:t>3) 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фондов, относящихся к категории фондов фондов;</w:t>
            </w:r>
          </w:p>
          <w:p w:rsidR="001208ED" w:rsidRPr="00755FC7" w:rsidRDefault="001208ED" w:rsidP="001208ED">
            <w:pPr>
              <w:ind w:firstLine="540"/>
              <w:rPr>
                <w:rFonts w:ascii="Verdana" w:hAnsi="Verdana" w:cs="Verdana"/>
              </w:rPr>
            </w:pPr>
            <w:r w:rsidRPr="00755FC7">
              <w:rPr>
                <w:rFonts w:ascii="Verdana" w:hAnsi="Verdana" w:cs="Verdana"/>
              </w:rPr>
              <w:t>4) ипотечные сертификаты участия, выданные в соответствии с законодательством РФ.</w:t>
            </w:r>
          </w:p>
          <w:p w:rsidR="00F02AA7" w:rsidRPr="00CF3829" w:rsidRDefault="00F02AA7" w:rsidP="001208ED">
            <w:pPr>
              <w:ind w:firstLine="540"/>
              <w:rPr>
                <w:rFonts w:ascii="Verdana" w:hAnsi="Verdana" w:cs="Verdana"/>
                <w:sz w:val="18"/>
                <w:szCs w:val="18"/>
              </w:rPr>
            </w:pPr>
          </w:p>
        </w:tc>
        <w:tc>
          <w:tcPr>
            <w:tcW w:w="5211" w:type="dxa"/>
          </w:tcPr>
          <w:p w:rsidR="001208ED" w:rsidRPr="00D52022" w:rsidRDefault="001208ED" w:rsidP="001208ED">
            <w:pPr>
              <w:ind w:firstLine="360"/>
              <w:rPr>
                <w:rFonts w:ascii="Verdana" w:hAnsi="Verdana" w:cs="Verdana"/>
              </w:rPr>
            </w:pPr>
            <w:r w:rsidRPr="00D52022">
              <w:rPr>
                <w:rFonts w:ascii="Verdana" w:hAnsi="Verdana" w:cs="Verdana"/>
              </w:rPr>
              <w:t>23.1. Имущество, составляющее фонд, может быть инвестировано в:</w:t>
            </w:r>
          </w:p>
          <w:p w:rsidR="001208ED" w:rsidRPr="00D52022" w:rsidRDefault="001208ED" w:rsidP="001208ED">
            <w:pPr>
              <w:ind w:firstLine="540"/>
              <w:rPr>
                <w:rFonts w:ascii="Verdana" w:hAnsi="Verdana" w:cs="Verdana"/>
              </w:rPr>
            </w:pPr>
            <w:r w:rsidRPr="00D52022">
              <w:rPr>
                <w:rFonts w:ascii="Verdana" w:hAnsi="Verdana" w:cs="Verdana"/>
                <w:color w:val="000000"/>
              </w:rPr>
              <w:t xml:space="preserve">1) денежные </w:t>
            </w:r>
            <w:r w:rsidRPr="00D52022">
              <w:rPr>
                <w:rFonts w:ascii="Verdana" w:hAnsi="Verdana" w:cs="Verdana"/>
              </w:rPr>
              <w:t>средства, в том числе иностранная валюта, на счетах и во вкладах в кредитных организациях;</w:t>
            </w:r>
          </w:p>
          <w:p w:rsidR="001208ED" w:rsidRPr="00581841" w:rsidRDefault="001208ED" w:rsidP="001208ED">
            <w:pPr>
              <w:ind w:firstLine="540"/>
              <w:rPr>
                <w:rFonts w:ascii="Verdana" w:hAnsi="Verdana" w:cs="Verdana"/>
              </w:rPr>
            </w:pPr>
            <w:r>
              <w:rPr>
                <w:rFonts w:ascii="Verdana" w:hAnsi="Verdana" w:cs="Verdana"/>
              </w:rPr>
              <w:t>2</w:t>
            </w:r>
            <w:r w:rsidRPr="00B13BD2">
              <w:rPr>
                <w:rFonts w:ascii="Verdana" w:hAnsi="Verdana" w:cs="Verdana"/>
              </w:rPr>
              <w:t xml:space="preserve">) </w:t>
            </w:r>
            <w:r>
              <w:rPr>
                <w:rFonts w:ascii="Verdana" w:hAnsi="Verdana" w:cs="Verdana"/>
              </w:rPr>
              <w:t>паи (акции)</w:t>
            </w:r>
            <w:r w:rsidRPr="00C72D34">
              <w:rPr>
                <w:rFonts w:ascii="Verdana" w:hAnsi="Verdana" w:cs="Verdana"/>
              </w:rPr>
              <w:t xml:space="preserve"> иностранного инвестиционного фонда</w:t>
            </w:r>
            <w:r w:rsidRPr="00581841">
              <w:rPr>
                <w:rFonts w:ascii="Verdana" w:hAnsi="Verdana" w:cs="Verdana"/>
              </w:rPr>
              <w:t>:</w:t>
            </w:r>
          </w:p>
          <w:p w:rsidR="001208ED" w:rsidRPr="007F3021" w:rsidRDefault="001208ED" w:rsidP="001208ED">
            <w:pPr>
              <w:rPr>
                <w:rFonts w:ascii="Verdana" w:hAnsi="Verdana" w:cs="Verdana"/>
              </w:rPr>
            </w:pPr>
            <w:r>
              <w:rPr>
                <w:rFonts w:ascii="Verdana" w:hAnsi="Verdana" w:cs="Verdana"/>
                <w:lang w:val="en-US"/>
              </w:rPr>
              <w:t>Power</w:t>
            </w:r>
            <w:r w:rsidRPr="00581841">
              <w:rPr>
                <w:rFonts w:ascii="Verdana" w:hAnsi="Verdana" w:cs="Verdana"/>
              </w:rPr>
              <w:t xml:space="preserve"> </w:t>
            </w:r>
            <w:r>
              <w:rPr>
                <w:rFonts w:ascii="Verdana" w:hAnsi="Verdana" w:cs="Verdana"/>
                <w:lang w:val="en-US"/>
              </w:rPr>
              <w:t>Shares</w:t>
            </w:r>
            <w:r w:rsidRPr="00581841">
              <w:rPr>
                <w:rFonts w:ascii="Verdana" w:hAnsi="Verdana" w:cs="Verdana"/>
              </w:rPr>
              <w:t xml:space="preserve"> </w:t>
            </w:r>
            <w:r>
              <w:rPr>
                <w:rFonts w:ascii="Verdana" w:hAnsi="Verdana" w:cs="Verdana"/>
                <w:lang w:val="en-US"/>
              </w:rPr>
              <w:t>QQQ</w:t>
            </w:r>
            <w:r w:rsidRPr="00581841">
              <w:rPr>
                <w:rFonts w:ascii="Verdana" w:hAnsi="Verdana" w:cs="Verdana"/>
              </w:rPr>
              <w:t xml:space="preserve"> </w:t>
            </w:r>
            <w:r>
              <w:rPr>
                <w:rFonts w:ascii="Verdana" w:hAnsi="Verdana" w:cs="Verdana"/>
                <w:lang w:val="en-US"/>
              </w:rPr>
              <w:t>Trust</w:t>
            </w:r>
            <w:r w:rsidRPr="00FF7FCD">
              <w:rPr>
                <w:rFonts w:ascii="Verdana" w:hAnsi="Verdana" w:cs="Verdana"/>
              </w:rPr>
              <w:t>,</w:t>
            </w:r>
            <w:r w:rsidRPr="00581841">
              <w:rPr>
                <w:rFonts w:ascii="Tahoma" w:hAnsi="Tahoma" w:cs="Tahoma"/>
                <w:color w:val="333333"/>
              </w:rPr>
              <w:t xml:space="preserve"> </w:t>
            </w:r>
            <w:r w:rsidRPr="00581841">
              <w:rPr>
                <w:rFonts w:ascii="Tahoma" w:hAnsi="Tahoma" w:cs="Tahoma"/>
                <w:color w:val="333333"/>
                <w:lang w:val="en-US"/>
              </w:rPr>
              <w:t>Series</w:t>
            </w:r>
            <w:r w:rsidRPr="00581841">
              <w:rPr>
                <w:rFonts w:ascii="Tahoma" w:hAnsi="Tahoma" w:cs="Tahoma"/>
                <w:color w:val="333333"/>
              </w:rPr>
              <w:t xml:space="preserve"> 1,</w:t>
            </w:r>
            <w:r w:rsidRPr="00581841">
              <w:rPr>
                <w:rFonts w:ascii="Tahoma" w:hAnsi="Tahoma" w:cs="Tahoma"/>
                <w:color w:val="333333"/>
                <w:sz w:val="22"/>
                <w:szCs w:val="22"/>
              </w:rPr>
              <w:t xml:space="preserve"> </w:t>
            </w:r>
            <w:r w:rsidRPr="00DA2B73">
              <w:rPr>
                <w:rFonts w:ascii="Verdana" w:hAnsi="Verdana" w:cs="Verdana"/>
                <w:lang w:val="en-US"/>
              </w:rPr>
              <w:t>ISIN</w:t>
            </w:r>
            <w:r w:rsidRPr="00FF7FCD">
              <w:rPr>
                <w:rFonts w:ascii="Verdana" w:hAnsi="Verdana" w:cs="Verdana"/>
              </w:rPr>
              <w:t xml:space="preserve"> </w:t>
            </w:r>
            <w:r w:rsidRPr="00DA2B73">
              <w:rPr>
                <w:rFonts w:ascii="Verdana" w:hAnsi="Verdana" w:cs="Verdana"/>
                <w:lang w:val="en-US"/>
              </w:rPr>
              <w:t>US</w:t>
            </w:r>
            <w:r w:rsidRPr="00FF7FCD">
              <w:rPr>
                <w:rFonts w:ascii="Verdana" w:hAnsi="Verdana" w:cs="Verdana"/>
              </w:rPr>
              <w:t>73935</w:t>
            </w:r>
            <w:r w:rsidRPr="00DA2B73">
              <w:rPr>
                <w:rFonts w:ascii="Verdana" w:hAnsi="Verdana" w:cs="Verdana"/>
                <w:lang w:val="en-US"/>
              </w:rPr>
              <w:t>A</w:t>
            </w:r>
            <w:r w:rsidRPr="00FF7FCD">
              <w:rPr>
                <w:rFonts w:ascii="Verdana" w:hAnsi="Verdana" w:cs="Verdana"/>
              </w:rPr>
              <w:t xml:space="preserve">1043, </w:t>
            </w:r>
            <w:r w:rsidRPr="00C72D34">
              <w:rPr>
                <w:rFonts w:ascii="Verdana" w:hAnsi="Verdana" w:cs="Verdana"/>
              </w:rPr>
              <w:t>который</w:t>
            </w:r>
            <w:r w:rsidRPr="00FF7FCD">
              <w:rPr>
                <w:rFonts w:ascii="Verdana" w:hAnsi="Verdana" w:cs="Verdana"/>
              </w:rPr>
              <w:t xml:space="preserve"> </w:t>
            </w:r>
            <w:r w:rsidRPr="00C72D34">
              <w:rPr>
                <w:rFonts w:ascii="Verdana" w:hAnsi="Verdana" w:cs="Verdana"/>
              </w:rPr>
              <w:t>в</w:t>
            </w:r>
            <w:r w:rsidRPr="00FF7FCD">
              <w:rPr>
                <w:rFonts w:ascii="Verdana" w:hAnsi="Verdana" w:cs="Verdana"/>
              </w:rPr>
              <w:t xml:space="preserve"> </w:t>
            </w:r>
            <w:r w:rsidRPr="00C72D34">
              <w:rPr>
                <w:rFonts w:ascii="Verdana" w:hAnsi="Verdana" w:cs="Verdana"/>
              </w:rPr>
              <w:t>соответствии</w:t>
            </w:r>
            <w:r w:rsidRPr="00FF7FCD">
              <w:rPr>
                <w:rFonts w:ascii="Verdana" w:hAnsi="Verdana" w:cs="Verdana"/>
              </w:rPr>
              <w:t xml:space="preserve"> </w:t>
            </w:r>
            <w:r w:rsidRPr="00C72D34">
              <w:rPr>
                <w:rFonts w:ascii="Verdana" w:hAnsi="Verdana" w:cs="Verdana"/>
              </w:rPr>
              <w:t>с</w:t>
            </w:r>
            <w:r w:rsidRPr="00FF7FCD">
              <w:rPr>
                <w:rFonts w:ascii="Verdana" w:hAnsi="Verdana" w:cs="Verdana"/>
              </w:rPr>
              <w:t xml:space="preserve"> </w:t>
            </w:r>
            <w:r w:rsidRPr="00C72D34">
              <w:rPr>
                <w:rFonts w:ascii="Verdana" w:hAnsi="Verdana" w:cs="Verdana"/>
              </w:rPr>
              <w:t>личным</w:t>
            </w:r>
            <w:r w:rsidRPr="00FF7FCD">
              <w:rPr>
                <w:rFonts w:ascii="Verdana" w:hAnsi="Verdana" w:cs="Verdana"/>
              </w:rPr>
              <w:t xml:space="preserve"> </w:t>
            </w:r>
            <w:r w:rsidRPr="00C72D34">
              <w:rPr>
                <w:rFonts w:ascii="Verdana" w:hAnsi="Verdana" w:cs="Verdana"/>
              </w:rPr>
              <w:t>законом</w:t>
            </w:r>
            <w:r w:rsidRPr="00FF7FCD">
              <w:rPr>
                <w:rFonts w:ascii="Verdana" w:hAnsi="Verdana" w:cs="Verdana"/>
              </w:rPr>
              <w:t xml:space="preserve"> </w:t>
            </w:r>
            <w:r w:rsidRPr="00C72D34">
              <w:rPr>
                <w:rFonts w:ascii="Verdana" w:hAnsi="Verdana" w:cs="Verdana"/>
              </w:rPr>
              <w:t>этого</w:t>
            </w:r>
            <w:r w:rsidRPr="00FF7FCD">
              <w:rPr>
                <w:rFonts w:ascii="Verdana" w:hAnsi="Verdana" w:cs="Verdana"/>
              </w:rPr>
              <w:t xml:space="preserve"> </w:t>
            </w:r>
            <w:r w:rsidRPr="00C72D34">
              <w:rPr>
                <w:rFonts w:ascii="Verdana" w:hAnsi="Verdana" w:cs="Verdana"/>
              </w:rPr>
              <w:t>фонда</w:t>
            </w:r>
            <w:r w:rsidRPr="00FF7FCD">
              <w:rPr>
                <w:rFonts w:ascii="Verdana" w:hAnsi="Verdana" w:cs="Verdana"/>
              </w:rPr>
              <w:t xml:space="preserve"> </w:t>
            </w:r>
            <w:r w:rsidRPr="00C72D34">
              <w:rPr>
                <w:rFonts w:ascii="Verdana" w:hAnsi="Verdana" w:cs="Verdana"/>
              </w:rPr>
              <w:t>является</w:t>
            </w:r>
            <w:r w:rsidRPr="00FF7FCD">
              <w:rPr>
                <w:rFonts w:ascii="Verdana" w:hAnsi="Verdana" w:cs="Verdana"/>
              </w:rPr>
              <w:t xml:space="preserve"> </w:t>
            </w:r>
            <w:r w:rsidRPr="00C72D34">
              <w:rPr>
                <w:rFonts w:ascii="Verdana" w:hAnsi="Verdana" w:cs="Verdana"/>
              </w:rPr>
              <w:t>индексным</w:t>
            </w:r>
            <w:r w:rsidRPr="00FF7FCD">
              <w:rPr>
                <w:rFonts w:ascii="Verdana" w:hAnsi="Verdana" w:cs="Verdana"/>
              </w:rPr>
              <w:t xml:space="preserve"> </w:t>
            </w:r>
            <w:r w:rsidRPr="00C72D34">
              <w:rPr>
                <w:rFonts w:ascii="Verdana" w:hAnsi="Verdana" w:cs="Verdana"/>
              </w:rPr>
              <w:t>фондом</w:t>
            </w:r>
            <w:r w:rsidRPr="00FF7FCD">
              <w:rPr>
                <w:rFonts w:ascii="Verdana" w:hAnsi="Verdana" w:cs="Verdana"/>
              </w:rPr>
              <w:t xml:space="preserve"> </w:t>
            </w:r>
            <w:r>
              <w:rPr>
                <w:rFonts w:ascii="Verdana" w:hAnsi="Verdana" w:cs="Verdana"/>
              </w:rPr>
              <w:t>за</w:t>
            </w:r>
            <w:r w:rsidRPr="00C72D34">
              <w:rPr>
                <w:rFonts w:ascii="Verdana" w:hAnsi="Verdana" w:cs="Verdana"/>
              </w:rPr>
              <w:t>крытого</w:t>
            </w:r>
            <w:r w:rsidRPr="00FF7FCD">
              <w:rPr>
                <w:rFonts w:ascii="Verdana" w:hAnsi="Verdana" w:cs="Verdana"/>
              </w:rPr>
              <w:t xml:space="preserve"> </w:t>
            </w:r>
            <w:r w:rsidRPr="00C72D34">
              <w:rPr>
                <w:rFonts w:ascii="Verdana" w:hAnsi="Verdana" w:cs="Verdana"/>
              </w:rPr>
              <w:t>типа</w:t>
            </w:r>
            <w:r w:rsidRPr="00FF7FCD">
              <w:rPr>
                <w:rFonts w:ascii="Verdana" w:hAnsi="Verdana" w:cs="Verdana"/>
              </w:rPr>
              <w:t>,</w:t>
            </w:r>
            <w:r w:rsidRPr="00FF7FCD">
              <w:rPr>
                <w:rFonts w:ascii="Tahoma" w:hAnsi="Tahoma" w:cs="Tahoma"/>
                <w:color w:val="333333"/>
                <w:sz w:val="17"/>
                <w:szCs w:val="17"/>
              </w:rPr>
              <w:t xml:space="preserve"> </w:t>
            </w:r>
            <w:r w:rsidRPr="00C72D34">
              <w:rPr>
                <w:rFonts w:ascii="Verdana" w:hAnsi="Verdana" w:cs="Verdana"/>
              </w:rPr>
              <w:t>под</w:t>
            </w:r>
            <w:r w:rsidRPr="00FF7FCD">
              <w:rPr>
                <w:rFonts w:ascii="Verdana" w:hAnsi="Verdana" w:cs="Verdana"/>
              </w:rPr>
              <w:t xml:space="preserve"> </w:t>
            </w:r>
            <w:r w:rsidRPr="00C72D34">
              <w:rPr>
                <w:rFonts w:ascii="Verdana" w:hAnsi="Verdana" w:cs="Verdana"/>
              </w:rPr>
              <w:t>упра</w:t>
            </w:r>
            <w:r>
              <w:rPr>
                <w:rFonts w:ascii="Verdana" w:hAnsi="Verdana" w:cs="Verdana"/>
              </w:rPr>
              <w:t>влением</w:t>
            </w:r>
            <w:r w:rsidRPr="00FF7FCD">
              <w:rPr>
                <w:rFonts w:ascii="Verdana" w:hAnsi="Verdana" w:cs="Verdana"/>
              </w:rPr>
              <w:t xml:space="preserve"> </w:t>
            </w:r>
            <w:r>
              <w:rPr>
                <w:rFonts w:ascii="Verdana" w:hAnsi="Verdana" w:cs="Verdana"/>
                <w:lang w:val="en-US"/>
              </w:rPr>
              <w:t>Invesco</w:t>
            </w:r>
            <w:r w:rsidRPr="00FF7FCD">
              <w:rPr>
                <w:rFonts w:ascii="Verdana" w:hAnsi="Verdana" w:cs="Verdana"/>
              </w:rPr>
              <w:t xml:space="preserve"> </w:t>
            </w:r>
            <w:r>
              <w:rPr>
                <w:rFonts w:ascii="Verdana" w:hAnsi="Verdana" w:cs="Verdana"/>
                <w:lang w:val="en-US"/>
              </w:rPr>
              <w:t>PowerShares</w:t>
            </w:r>
            <w:r w:rsidRPr="00FF7FCD">
              <w:rPr>
                <w:rFonts w:ascii="Verdana" w:hAnsi="Verdana" w:cs="Verdana"/>
              </w:rPr>
              <w:t xml:space="preserve"> </w:t>
            </w:r>
            <w:r>
              <w:rPr>
                <w:rFonts w:ascii="Verdana" w:hAnsi="Verdana" w:cs="Verdana"/>
                <w:lang w:val="en-US"/>
              </w:rPr>
              <w:t>Capital</w:t>
            </w:r>
            <w:r w:rsidRPr="00FF7FCD">
              <w:rPr>
                <w:rFonts w:ascii="Verdana" w:hAnsi="Verdana" w:cs="Verdana"/>
              </w:rPr>
              <w:t xml:space="preserve"> </w:t>
            </w:r>
            <w:r>
              <w:rPr>
                <w:rFonts w:ascii="Verdana" w:hAnsi="Verdana" w:cs="Verdana"/>
                <w:lang w:val="en-US"/>
              </w:rPr>
              <w:t>Management</w:t>
            </w:r>
            <w:r w:rsidRPr="00FF7FCD">
              <w:rPr>
                <w:rFonts w:ascii="Verdana" w:hAnsi="Verdana" w:cs="Verdana"/>
              </w:rPr>
              <w:t xml:space="preserve"> </w:t>
            </w:r>
            <w:r>
              <w:rPr>
                <w:rFonts w:ascii="Verdana" w:hAnsi="Verdana" w:cs="Verdana"/>
                <w:lang w:val="en-US"/>
              </w:rPr>
              <w:t>LLC</w:t>
            </w:r>
            <w:r w:rsidRPr="00FF7FCD">
              <w:rPr>
                <w:rFonts w:ascii="Verdana" w:hAnsi="Verdana" w:cs="Verdana"/>
              </w:rPr>
              <w:t xml:space="preserve">. </w:t>
            </w:r>
            <w:r w:rsidRPr="00C72D34">
              <w:rPr>
                <w:rFonts w:ascii="Verdana" w:hAnsi="Verdana" w:cs="Verdana"/>
              </w:rPr>
              <w:t>Код CFI – EUCMMR</w:t>
            </w:r>
            <w:r>
              <w:rPr>
                <w:rFonts w:ascii="Verdana" w:hAnsi="Verdana" w:cs="Verdana"/>
              </w:rPr>
              <w:t xml:space="preserve">. Индекс, которым представлена структура фонда </w:t>
            </w:r>
            <w:r w:rsidRPr="005517E8">
              <w:rPr>
                <w:rFonts w:ascii="Verdana" w:hAnsi="Verdana" w:cs="Verdana"/>
              </w:rPr>
              <w:t>NASDAQ</w:t>
            </w:r>
            <w:r w:rsidRPr="00C72D34">
              <w:rPr>
                <w:rFonts w:ascii="Verdana" w:hAnsi="Verdana" w:cs="Verdana"/>
              </w:rPr>
              <w:t xml:space="preserve">-100 </w:t>
            </w:r>
            <w:r w:rsidRPr="005517E8">
              <w:rPr>
                <w:rFonts w:ascii="Verdana" w:hAnsi="Verdana" w:cs="Verdana"/>
              </w:rPr>
              <w:t>Index</w:t>
            </w:r>
            <w:r>
              <w:rPr>
                <w:rFonts w:ascii="Verdana" w:hAnsi="Verdana" w:cs="Verdana"/>
              </w:rPr>
              <w:t xml:space="preserve">. Расчет </w:t>
            </w:r>
            <w:r w:rsidRPr="00C72D34">
              <w:rPr>
                <w:rFonts w:ascii="Verdana" w:hAnsi="Verdana" w:cs="Verdana"/>
              </w:rPr>
              <w:t xml:space="preserve">индекса </w:t>
            </w:r>
            <w:r w:rsidRPr="00581841">
              <w:rPr>
                <w:rFonts w:ascii="Verdana" w:hAnsi="Verdana" w:cs="Verdana"/>
              </w:rPr>
              <w:t>NASDAQ</w:t>
            </w:r>
            <w:r w:rsidRPr="00C72D34">
              <w:rPr>
                <w:rFonts w:ascii="Verdana" w:hAnsi="Verdana" w:cs="Verdana"/>
              </w:rPr>
              <w:t xml:space="preserve">-100 </w:t>
            </w:r>
            <w:r w:rsidRPr="00581841">
              <w:rPr>
                <w:rFonts w:ascii="Verdana" w:hAnsi="Verdana" w:cs="Verdana"/>
              </w:rPr>
              <w:t>Index</w:t>
            </w:r>
            <w:r>
              <w:rPr>
                <w:rFonts w:ascii="Verdana" w:hAnsi="Verdana" w:cs="Verdana"/>
              </w:rPr>
              <w:t xml:space="preserve"> осуществляет компания </w:t>
            </w:r>
            <w:r w:rsidRPr="00581841">
              <w:rPr>
                <w:rFonts w:ascii="Verdana" w:hAnsi="Verdana" w:cs="Verdana"/>
              </w:rPr>
              <w:t xml:space="preserve">NASDAQ </w:t>
            </w:r>
            <w:r>
              <w:rPr>
                <w:rFonts w:ascii="Verdana" w:hAnsi="Verdana" w:cs="Verdana"/>
                <w:lang w:val="en-US"/>
              </w:rPr>
              <w:t>OMX</w:t>
            </w:r>
            <w:r w:rsidRPr="00581841">
              <w:rPr>
                <w:rFonts w:ascii="Verdana" w:hAnsi="Verdana" w:cs="Verdana"/>
              </w:rPr>
              <w:t xml:space="preserve"> </w:t>
            </w:r>
            <w:r>
              <w:rPr>
                <w:rFonts w:ascii="Verdana" w:hAnsi="Verdana" w:cs="Verdana"/>
                <w:lang w:val="en-US"/>
              </w:rPr>
              <w:t>Group</w:t>
            </w:r>
            <w:r w:rsidRPr="00581841">
              <w:rPr>
                <w:rFonts w:ascii="Verdana" w:hAnsi="Verdana" w:cs="Verdana"/>
              </w:rPr>
              <w:t xml:space="preserve">, </w:t>
            </w:r>
            <w:r>
              <w:rPr>
                <w:rFonts w:ascii="Verdana" w:hAnsi="Verdana" w:cs="Verdana"/>
                <w:lang w:val="en-US"/>
              </w:rPr>
              <w:t>Inc</w:t>
            </w:r>
            <w:r w:rsidRPr="00C72D34">
              <w:rPr>
                <w:rFonts w:ascii="Verdana" w:hAnsi="Verdana" w:cs="Verdana"/>
              </w:rPr>
              <w:t>.</w:t>
            </w:r>
            <w:r w:rsidRPr="00581841">
              <w:rPr>
                <w:rFonts w:ascii="Verdana" w:hAnsi="Verdana" w:cs="Verdana"/>
              </w:rPr>
              <w:t xml:space="preserve"> </w:t>
            </w:r>
          </w:p>
          <w:p w:rsidR="009333D3" w:rsidRPr="00CF3829" w:rsidRDefault="009333D3" w:rsidP="001208ED">
            <w:pPr>
              <w:ind w:firstLine="425"/>
              <w:rPr>
                <w:rFonts w:ascii="Verdana" w:hAnsi="Verdana" w:cs="Verdana"/>
                <w:sz w:val="18"/>
                <w:szCs w:val="18"/>
              </w:rPr>
            </w:pPr>
          </w:p>
        </w:tc>
      </w:tr>
      <w:tr w:rsidR="00F02AA7" w:rsidRPr="00CF3829">
        <w:tblPrEx>
          <w:tblCellMar>
            <w:top w:w="0" w:type="dxa"/>
            <w:bottom w:w="0" w:type="dxa"/>
          </w:tblCellMar>
        </w:tblPrEx>
        <w:tc>
          <w:tcPr>
            <w:tcW w:w="5211" w:type="dxa"/>
          </w:tcPr>
          <w:p w:rsidR="0090408E" w:rsidRPr="00755FC7" w:rsidRDefault="0090408E" w:rsidP="0090408E">
            <w:pPr>
              <w:ind w:firstLine="540"/>
              <w:rPr>
                <w:rFonts w:ascii="Verdana" w:hAnsi="Verdana" w:cs="Verdana"/>
              </w:rPr>
            </w:pPr>
            <w:r w:rsidRPr="00755FC7">
              <w:rPr>
                <w:rFonts w:ascii="Verdana" w:hAnsi="Verdana" w:cs="Verdana"/>
              </w:rPr>
              <w:t>23.2. Под долговыми инструментами понимаются:</w:t>
            </w:r>
          </w:p>
          <w:p w:rsidR="0090408E" w:rsidRPr="00755FC7" w:rsidRDefault="0090408E" w:rsidP="0090408E">
            <w:pPr>
              <w:ind w:firstLine="540"/>
              <w:rPr>
                <w:rFonts w:ascii="Verdana" w:hAnsi="Verdana" w:cs="Verdana"/>
              </w:rPr>
            </w:pPr>
            <w:r w:rsidRPr="00755FC7">
              <w:rPr>
                <w:rFonts w:ascii="Verdana" w:hAnsi="Verdana" w:cs="Verdana"/>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90408E" w:rsidRPr="00755FC7" w:rsidRDefault="0090408E" w:rsidP="0090408E">
            <w:pPr>
              <w:ind w:firstLine="540"/>
              <w:rPr>
                <w:rFonts w:ascii="Verdana" w:hAnsi="Verdana" w:cs="Verdana"/>
              </w:rPr>
            </w:pPr>
            <w:r w:rsidRPr="00755FC7">
              <w:rPr>
                <w:rFonts w:ascii="Verdana" w:hAnsi="Verdana" w:cs="Verdana"/>
              </w:rPr>
              <w:lastRenderedPageBreak/>
              <w:t>б) биржевые облигации российских хозяйственных обществ;</w:t>
            </w:r>
          </w:p>
          <w:p w:rsidR="0090408E" w:rsidRPr="00755FC7" w:rsidRDefault="0090408E" w:rsidP="0090408E">
            <w:pPr>
              <w:ind w:firstLine="540"/>
              <w:rPr>
                <w:rFonts w:ascii="Verdana" w:hAnsi="Verdana" w:cs="Verdana"/>
              </w:rPr>
            </w:pPr>
            <w:r w:rsidRPr="00755FC7">
              <w:rPr>
                <w:rFonts w:ascii="Verdana" w:hAnsi="Verdana" w:cs="Verdana"/>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90408E" w:rsidRPr="00755FC7" w:rsidRDefault="0090408E" w:rsidP="0090408E">
            <w:pPr>
              <w:ind w:firstLine="540"/>
              <w:rPr>
                <w:rFonts w:ascii="Verdana" w:hAnsi="Verdana" w:cs="Verdana"/>
              </w:rPr>
            </w:pPr>
            <w:r w:rsidRPr="00755FC7">
              <w:rPr>
                <w:rFonts w:ascii="Verdana" w:hAnsi="Verdana" w:cs="Verdana"/>
              </w:rPr>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90408E" w:rsidRPr="00755FC7" w:rsidRDefault="0090408E" w:rsidP="0090408E">
            <w:pPr>
              <w:ind w:firstLine="540"/>
              <w:rPr>
                <w:rFonts w:ascii="Verdana" w:hAnsi="Verdana" w:cs="Verdana"/>
              </w:rPr>
            </w:pPr>
            <w:r w:rsidRPr="00755FC7">
              <w:rPr>
                <w:rFonts w:ascii="Verdana" w:hAnsi="Verdana" w:cs="Verdana"/>
              </w:rPr>
              <w:t xml:space="preserve">д) российские и иностранные депозитарные расписки на ценные бумаги, предусмотренные настоящим  пунктом. </w:t>
            </w:r>
          </w:p>
          <w:p w:rsidR="00F02AA7" w:rsidRPr="00CF3829" w:rsidRDefault="00F02AA7" w:rsidP="00367CA4">
            <w:pPr>
              <w:pStyle w:val="3"/>
              <w:spacing w:after="0" w:line="240" w:lineRule="atLeast"/>
              <w:ind w:right="-1"/>
              <w:rPr>
                <w:rFonts w:ascii="Verdana" w:hAnsi="Verdana" w:cs="Verdana"/>
                <w:sz w:val="18"/>
                <w:szCs w:val="18"/>
              </w:rPr>
            </w:pPr>
          </w:p>
        </w:tc>
        <w:tc>
          <w:tcPr>
            <w:tcW w:w="5211" w:type="dxa"/>
          </w:tcPr>
          <w:p w:rsidR="0090408E" w:rsidRPr="006E3ECD" w:rsidRDefault="0090408E" w:rsidP="0090408E">
            <w:pPr>
              <w:ind w:firstLine="426"/>
              <w:rPr>
                <w:rFonts w:ascii="Verdana" w:hAnsi="Verdana" w:cs="Verdana"/>
              </w:rPr>
            </w:pPr>
            <w:r w:rsidRPr="00C72D34">
              <w:rPr>
                <w:rFonts w:ascii="Verdana" w:hAnsi="Verdana" w:cs="Verdana"/>
              </w:rPr>
              <w:lastRenderedPageBreak/>
              <w:t xml:space="preserve">23.2. </w:t>
            </w:r>
            <w:r w:rsidRPr="005517E8">
              <w:rPr>
                <w:rFonts w:ascii="Verdana" w:hAnsi="Verdana" w:cs="Verdana"/>
              </w:rPr>
              <w:t>Лицом, обязанным по паям (акциям) иностранного индексного инвестиционного фонда, является компания Invesco</w:t>
            </w:r>
            <w:r w:rsidRPr="007F3021">
              <w:rPr>
                <w:rFonts w:ascii="Verdana" w:hAnsi="Verdana" w:cs="Verdana"/>
              </w:rPr>
              <w:t xml:space="preserve"> </w:t>
            </w:r>
            <w:r w:rsidRPr="005517E8">
              <w:rPr>
                <w:rFonts w:ascii="Verdana" w:hAnsi="Verdana" w:cs="Verdana"/>
              </w:rPr>
              <w:t>PowerShare</w:t>
            </w:r>
            <w:r w:rsidRPr="007F3021">
              <w:rPr>
                <w:rFonts w:ascii="Verdana" w:hAnsi="Verdana" w:cs="Verdana"/>
              </w:rPr>
              <w:t xml:space="preserve"> </w:t>
            </w:r>
            <w:r w:rsidRPr="005517E8">
              <w:rPr>
                <w:rFonts w:ascii="Verdana" w:hAnsi="Verdana" w:cs="Verdana"/>
              </w:rPr>
              <w:t>Capital</w:t>
            </w:r>
            <w:r w:rsidRPr="007F3021">
              <w:rPr>
                <w:rFonts w:ascii="Verdana" w:hAnsi="Verdana" w:cs="Verdana"/>
              </w:rPr>
              <w:t xml:space="preserve"> </w:t>
            </w:r>
            <w:r w:rsidRPr="005517E8">
              <w:rPr>
                <w:rFonts w:ascii="Verdana" w:hAnsi="Verdana" w:cs="Verdana"/>
              </w:rPr>
              <w:t>Management</w:t>
            </w:r>
            <w:r w:rsidRPr="007F3021">
              <w:rPr>
                <w:rFonts w:ascii="Verdana" w:hAnsi="Verdana" w:cs="Verdana"/>
              </w:rPr>
              <w:t xml:space="preserve"> </w:t>
            </w:r>
            <w:r w:rsidRPr="005517E8">
              <w:rPr>
                <w:rFonts w:ascii="Verdana" w:hAnsi="Verdana" w:cs="Verdana"/>
              </w:rPr>
              <w:t>LLC</w:t>
            </w:r>
            <w:r w:rsidRPr="00C72D34">
              <w:rPr>
                <w:rFonts w:ascii="Verdana" w:hAnsi="Verdana" w:cs="Verdana"/>
              </w:rPr>
              <w:t xml:space="preserve">зарегистрировано в Соединенных Штатах Америки, по </w:t>
            </w:r>
            <w:r>
              <w:rPr>
                <w:rFonts w:ascii="Verdana" w:hAnsi="Verdana" w:cs="Verdana"/>
              </w:rPr>
              <w:t xml:space="preserve">адресу: </w:t>
            </w:r>
            <w:r w:rsidRPr="00C72D34">
              <w:rPr>
                <w:rFonts w:ascii="Verdana" w:hAnsi="Verdana" w:cs="Verdana"/>
              </w:rPr>
              <w:t xml:space="preserve">301 </w:t>
            </w:r>
            <w:r>
              <w:rPr>
                <w:rFonts w:ascii="Verdana" w:hAnsi="Verdana" w:cs="Verdana"/>
                <w:lang w:val="en-US"/>
              </w:rPr>
              <w:t>West</w:t>
            </w:r>
            <w:r w:rsidRPr="00C72D34">
              <w:rPr>
                <w:rFonts w:ascii="Verdana" w:hAnsi="Verdana" w:cs="Verdana"/>
              </w:rPr>
              <w:t xml:space="preserve"> </w:t>
            </w:r>
            <w:r>
              <w:rPr>
                <w:rFonts w:ascii="Verdana" w:hAnsi="Verdana" w:cs="Verdana"/>
                <w:lang w:val="en-US"/>
              </w:rPr>
              <w:t>Roosevelt</w:t>
            </w:r>
            <w:r w:rsidRPr="00C72D34">
              <w:rPr>
                <w:rFonts w:ascii="Verdana" w:hAnsi="Verdana" w:cs="Verdana"/>
              </w:rPr>
              <w:t xml:space="preserve"> </w:t>
            </w:r>
            <w:r>
              <w:rPr>
                <w:rFonts w:ascii="Verdana" w:hAnsi="Verdana" w:cs="Verdana"/>
                <w:lang w:val="en-US"/>
              </w:rPr>
              <w:t>Road</w:t>
            </w:r>
            <w:r w:rsidRPr="00C72D34">
              <w:rPr>
                <w:rFonts w:ascii="Verdana" w:hAnsi="Verdana" w:cs="Verdana"/>
              </w:rPr>
              <w:t xml:space="preserve">, </w:t>
            </w:r>
            <w:r>
              <w:rPr>
                <w:rFonts w:ascii="Verdana" w:hAnsi="Verdana" w:cs="Verdana"/>
                <w:lang w:val="en-US"/>
              </w:rPr>
              <w:t>Wheaton</w:t>
            </w:r>
            <w:r>
              <w:rPr>
                <w:rFonts w:ascii="Verdana" w:hAnsi="Verdana" w:cs="Verdana"/>
              </w:rPr>
              <w:t xml:space="preserve">, </w:t>
            </w:r>
            <w:r>
              <w:rPr>
                <w:rFonts w:ascii="Verdana" w:hAnsi="Verdana" w:cs="Verdana"/>
                <w:lang w:val="en-US"/>
              </w:rPr>
              <w:t>IL</w:t>
            </w:r>
            <w:r>
              <w:rPr>
                <w:rFonts w:ascii="Verdana" w:hAnsi="Verdana" w:cs="Verdana"/>
              </w:rPr>
              <w:t xml:space="preserve"> </w:t>
            </w:r>
            <w:r w:rsidRPr="00C72D34">
              <w:rPr>
                <w:rFonts w:ascii="Verdana" w:hAnsi="Verdana" w:cs="Verdana"/>
              </w:rPr>
              <w:t>60187 USA</w:t>
            </w:r>
            <w:r w:rsidRPr="006E3ECD">
              <w:rPr>
                <w:rFonts w:ascii="Verdana" w:hAnsi="Verdana" w:cs="Verdana"/>
              </w:rPr>
              <w:t>.</w:t>
            </w:r>
          </w:p>
          <w:p w:rsidR="00F02AA7" w:rsidRPr="00CF3829" w:rsidRDefault="00F02AA7" w:rsidP="00A13C77">
            <w:pPr>
              <w:jc w:val="both"/>
              <w:rPr>
                <w:rFonts w:ascii="Verdana" w:hAnsi="Verdana" w:cs="Verdana"/>
                <w:sz w:val="18"/>
                <w:szCs w:val="18"/>
              </w:rPr>
            </w:pPr>
          </w:p>
        </w:tc>
      </w:tr>
      <w:tr w:rsidR="00F02AA7" w:rsidRPr="00CF3829">
        <w:tblPrEx>
          <w:tblCellMar>
            <w:top w:w="0" w:type="dxa"/>
            <w:bottom w:w="0" w:type="dxa"/>
          </w:tblCellMar>
        </w:tblPrEx>
        <w:tc>
          <w:tcPr>
            <w:tcW w:w="5211" w:type="dxa"/>
          </w:tcPr>
          <w:p w:rsidR="0090408E" w:rsidRPr="00755FC7" w:rsidRDefault="0090408E" w:rsidP="0090408E">
            <w:pPr>
              <w:ind w:firstLine="426"/>
              <w:rPr>
                <w:rFonts w:ascii="Verdana" w:hAnsi="Verdana" w:cs="Verdana"/>
              </w:rPr>
            </w:pPr>
            <w:r w:rsidRPr="00755FC7">
              <w:rPr>
                <w:rFonts w:ascii="Verdana" w:hAnsi="Verdana" w:cs="Verdana"/>
              </w:rPr>
              <w:lastRenderedPageBreak/>
              <w:t>23.3. Имущество, составляющее Фонд, может быть инвестировано в облигации, эмитентами которых могут быть:</w:t>
            </w:r>
          </w:p>
          <w:p w:rsidR="0090408E" w:rsidRPr="00755FC7" w:rsidRDefault="0090408E" w:rsidP="0090408E">
            <w:pPr>
              <w:ind w:firstLine="284"/>
              <w:rPr>
                <w:rFonts w:ascii="Verdana" w:hAnsi="Verdana" w:cs="Verdana"/>
              </w:rPr>
            </w:pPr>
            <w:r w:rsidRPr="00755FC7">
              <w:rPr>
                <w:rFonts w:ascii="Verdana" w:hAnsi="Verdana" w:cs="Verdana"/>
              </w:rPr>
              <w:t>- российские органы государственной власти;</w:t>
            </w:r>
          </w:p>
          <w:p w:rsidR="0090408E" w:rsidRPr="00755FC7" w:rsidRDefault="0090408E" w:rsidP="0090408E">
            <w:pPr>
              <w:ind w:firstLine="284"/>
              <w:rPr>
                <w:rFonts w:ascii="Verdana" w:hAnsi="Verdana" w:cs="Verdana"/>
              </w:rPr>
            </w:pPr>
            <w:r w:rsidRPr="00755FC7">
              <w:rPr>
                <w:rFonts w:ascii="Verdana" w:hAnsi="Verdana" w:cs="Verdana"/>
              </w:rPr>
              <w:t>- иностранные органы государственной власти;</w:t>
            </w:r>
          </w:p>
          <w:p w:rsidR="0090408E" w:rsidRPr="00755FC7" w:rsidRDefault="0090408E" w:rsidP="0090408E">
            <w:pPr>
              <w:ind w:firstLine="284"/>
              <w:rPr>
                <w:rFonts w:ascii="Verdana" w:hAnsi="Verdana" w:cs="Verdana"/>
              </w:rPr>
            </w:pPr>
            <w:r w:rsidRPr="00755FC7">
              <w:rPr>
                <w:rFonts w:ascii="Verdana" w:hAnsi="Verdana" w:cs="Verdana"/>
              </w:rPr>
              <w:t>- органы местного самоуправления;</w:t>
            </w:r>
          </w:p>
          <w:p w:rsidR="0090408E" w:rsidRPr="00755FC7" w:rsidRDefault="0090408E" w:rsidP="0090408E">
            <w:pPr>
              <w:ind w:firstLine="284"/>
              <w:rPr>
                <w:rFonts w:ascii="Verdana" w:hAnsi="Verdana" w:cs="Verdana"/>
              </w:rPr>
            </w:pPr>
            <w:r w:rsidRPr="00755FC7">
              <w:rPr>
                <w:rFonts w:ascii="Verdana" w:hAnsi="Verdana" w:cs="Verdana"/>
              </w:rPr>
              <w:t>- международные финансовые организации;</w:t>
            </w:r>
          </w:p>
          <w:p w:rsidR="0090408E" w:rsidRPr="00755FC7" w:rsidRDefault="0090408E" w:rsidP="0090408E">
            <w:pPr>
              <w:ind w:firstLine="284"/>
              <w:rPr>
                <w:rFonts w:ascii="Verdana" w:hAnsi="Verdana" w:cs="Verdana"/>
              </w:rPr>
            </w:pPr>
            <w:r w:rsidRPr="00755FC7">
              <w:rPr>
                <w:rFonts w:ascii="Verdana" w:hAnsi="Verdana" w:cs="Verdana"/>
              </w:rPr>
              <w:t>- российские юридические лица;</w:t>
            </w:r>
          </w:p>
          <w:p w:rsidR="0090408E" w:rsidRPr="00755FC7" w:rsidRDefault="0090408E" w:rsidP="0090408E">
            <w:pPr>
              <w:ind w:firstLine="284"/>
              <w:rPr>
                <w:rFonts w:ascii="Verdana" w:hAnsi="Verdana" w:cs="Verdana"/>
              </w:rPr>
            </w:pPr>
            <w:r w:rsidRPr="00755FC7">
              <w:rPr>
                <w:rFonts w:ascii="Verdana" w:hAnsi="Verdana" w:cs="Verdana"/>
              </w:rPr>
              <w:t>- иностранные юридические лица.</w:t>
            </w:r>
          </w:p>
          <w:p w:rsidR="0090408E" w:rsidRPr="00755FC7" w:rsidRDefault="0090408E" w:rsidP="0090408E">
            <w:pPr>
              <w:ind w:firstLine="426"/>
              <w:rPr>
                <w:rFonts w:ascii="Verdana" w:hAnsi="Verdana" w:cs="Verdana"/>
              </w:rPr>
            </w:pPr>
            <w:r w:rsidRPr="00755FC7">
              <w:rPr>
                <w:rFonts w:ascii="Verdana" w:hAnsi="Verdana" w:cs="Verdana"/>
              </w:rPr>
              <w:t>Ценные бумаги,  составляющее фонд, могут быть, как допущены, так и не допущены к торгам организаторов торговли на рынке ценных бумаг.</w:t>
            </w:r>
          </w:p>
          <w:p w:rsidR="0090408E" w:rsidRPr="00755FC7" w:rsidRDefault="0090408E" w:rsidP="0090408E">
            <w:pPr>
              <w:ind w:firstLine="426"/>
              <w:rPr>
                <w:rFonts w:ascii="Verdana" w:hAnsi="Verdana" w:cs="Verdana"/>
              </w:rPr>
            </w:pPr>
            <w:r w:rsidRPr="00755FC7">
              <w:rPr>
                <w:rFonts w:ascii="Verdana" w:hAnsi="Verdana" w:cs="Verdana"/>
              </w:rPr>
              <w:t>Ценные бумаги, составляющие фонд, могут быть, как включены, так и не включены в котировальные списки фондовых бирж.</w:t>
            </w:r>
          </w:p>
          <w:p w:rsidR="0090408E" w:rsidRPr="001A48F0" w:rsidRDefault="0090408E" w:rsidP="0090408E">
            <w:pPr>
              <w:ind w:firstLine="426"/>
              <w:rPr>
                <w:rFonts w:ascii="Verdana" w:hAnsi="Verdana" w:cs="Verdana"/>
              </w:rPr>
            </w:pPr>
            <w:r w:rsidRPr="00755FC7">
              <w:rPr>
                <w:rFonts w:ascii="Verdana" w:hAnsi="Verdana" w:cs="Verdana"/>
              </w:rPr>
              <w:t>Под неликвидной ценной бумагой в настоящих</w:t>
            </w:r>
            <w:r w:rsidRPr="001A48F0">
              <w:rPr>
                <w:rFonts w:ascii="Verdana" w:hAnsi="Verdana" w:cs="Verdana"/>
              </w:rPr>
              <w:t xml:space="preserve">  Правилах понимается ценная бумага, которая в соответствии с законодательством Российской Федерации или личным законом иностранного эмитента ограничена в обороте или на текущий день не соответствует ни одному из следующих критериев:</w:t>
            </w:r>
          </w:p>
          <w:p w:rsidR="0090408E" w:rsidRPr="001A48F0" w:rsidRDefault="0090408E" w:rsidP="0090408E">
            <w:pPr>
              <w:ind w:firstLine="426"/>
              <w:rPr>
                <w:rFonts w:ascii="Verdana" w:hAnsi="Verdana" w:cs="Verdana"/>
              </w:rPr>
            </w:pPr>
            <w:r w:rsidRPr="001A48F0">
              <w:rPr>
                <w:rFonts w:ascii="Verdana" w:hAnsi="Verdana" w:cs="Verdana"/>
              </w:rPr>
              <w:t>а) ценная бумага включена в котировальные списки "А" или "Б" российской фондовой биржи;</w:t>
            </w:r>
          </w:p>
          <w:p w:rsidR="0090408E" w:rsidRPr="001A48F0" w:rsidRDefault="0090408E" w:rsidP="0090408E">
            <w:pPr>
              <w:ind w:firstLine="426"/>
              <w:rPr>
                <w:rFonts w:ascii="Verdana" w:hAnsi="Verdana" w:cs="Verdana"/>
              </w:rPr>
            </w:pPr>
            <w:r w:rsidRPr="001A48F0">
              <w:rPr>
                <w:rFonts w:ascii="Verdana" w:hAnsi="Verdana" w:cs="Verdana"/>
              </w:rPr>
              <w:t>б) объем торгов по ценной бумаге за предыдущий календарный месяц на одной из иностранных фондов</w:t>
            </w:r>
            <w:r>
              <w:rPr>
                <w:rFonts w:ascii="Verdana" w:hAnsi="Verdana" w:cs="Verdana"/>
              </w:rPr>
              <w:t>ых бирж, указанных в пункте 23.</w:t>
            </w:r>
            <w:r w:rsidRPr="00AC3A1F">
              <w:rPr>
                <w:rFonts w:ascii="Verdana" w:hAnsi="Verdana" w:cs="Verdana"/>
              </w:rPr>
              <w:t>7</w:t>
            </w:r>
            <w:r w:rsidRPr="001A48F0">
              <w:rPr>
                <w:rFonts w:ascii="Verdana" w:hAnsi="Verdana" w:cs="Verdana"/>
              </w:rPr>
              <w:t xml:space="preserve"> настоящих правил, превышает 1 милл</w:t>
            </w:r>
            <w:r>
              <w:rPr>
                <w:rFonts w:ascii="Verdana" w:hAnsi="Verdana" w:cs="Verdana"/>
              </w:rPr>
              <w:t xml:space="preserve">ион долларов США для </w:t>
            </w:r>
            <w:r w:rsidRPr="0048377D">
              <w:rPr>
                <w:rFonts w:ascii="Verdana" w:hAnsi="Verdana" w:cs="Verdana"/>
              </w:rPr>
              <w:t>облигаций</w:t>
            </w:r>
            <w:r>
              <w:rPr>
                <w:rFonts w:ascii="Verdana" w:hAnsi="Verdana" w:cs="Verdana"/>
              </w:rPr>
              <w:t xml:space="preserve"> и депозитарных расписок</w:t>
            </w:r>
            <w:r w:rsidRPr="0048377D">
              <w:rPr>
                <w:rFonts w:ascii="Verdana" w:hAnsi="Verdana" w:cs="Verdana"/>
              </w:rPr>
              <w:t>;</w:t>
            </w:r>
          </w:p>
          <w:p w:rsidR="0090408E" w:rsidRPr="001A48F0" w:rsidRDefault="0090408E" w:rsidP="0090408E">
            <w:pPr>
              <w:ind w:firstLine="426"/>
              <w:rPr>
                <w:rFonts w:ascii="Verdana" w:hAnsi="Verdana" w:cs="Verdana"/>
              </w:rPr>
            </w:pPr>
            <w:r w:rsidRPr="001A48F0">
              <w:rPr>
                <w:rFonts w:ascii="Verdana" w:hAnsi="Verdana" w:cs="Verdana"/>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90408E" w:rsidRPr="005D3D7F" w:rsidRDefault="0090408E" w:rsidP="0090408E">
            <w:pPr>
              <w:ind w:firstLine="426"/>
              <w:rPr>
                <w:rFonts w:ascii="Verdana" w:hAnsi="Verdana" w:cs="Verdana"/>
              </w:rPr>
            </w:pPr>
            <w:r w:rsidRPr="001A48F0">
              <w:rPr>
                <w:rFonts w:ascii="Verdana" w:hAnsi="Verdana" w:cs="Verdana"/>
              </w:rPr>
              <w:t xml:space="preserve">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w:t>
            </w:r>
            <w:r w:rsidRPr="001A48F0">
              <w:rPr>
                <w:rFonts w:ascii="Verdana" w:hAnsi="Verdana" w:cs="Verdana"/>
              </w:rPr>
              <w:lastRenderedPageBreak/>
              <w:t>даты направления соответствующего требования.</w:t>
            </w:r>
          </w:p>
          <w:p w:rsidR="00F02AA7" w:rsidRPr="00CF3829" w:rsidRDefault="00F02AA7" w:rsidP="00E22057">
            <w:pPr>
              <w:pStyle w:val="21"/>
              <w:widowControl w:val="0"/>
              <w:spacing w:after="0" w:line="240" w:lineRule="atLeast"/>
              <w:rPr>
                <w:rFonts w:ascii="Verdana" w:hAnsi="Verdana" w:cs="Verdana"/>
                <w:sz w:val="18"/>
                <w:szCs w:val="18"/>
              </w:rPr>
            </w:pPr>
          </w:p>
        </w:tc>
        <w:tc>
          <w:tcPr>
            <w:tcW w:w="5211" w:type="dxa"/>
          </w:tcPr>
          <w:p w:rsidR="0090408E" w:rsidRPr="0029748E" w:rsidRDefault="0090408E" w:rsidP="0090408E">
            <w:pPr>
              <w:ind w:firstLine="426"/>
              <w:rPr>
                <w:rFonts w:ascii="Verdana" w:hAnsi="Verdana" w:cs="Verdana"/>
              </w:rPr>
            </w:pPr>
            <w:r>
              <w:rPr>
                <w:rFonts w:ascii="Verdana" w:hAnsi="Verdana" w:cs="Verdana"/>
              </w:rPr>
              <w:lastRenderedPageBreak/>
              <w:t>23.</w:t>
            </w:r>
            <w:r w:rsidRPr="002F4209">
              <w:rPr>
                <w:rFonts w:ascii="Verdana" w:hAnsi="Verdana" w:cs="Verdana"/>
              </w:rPr>
              <w:t>3</w:t>
            </w:r>
            <w:r w:rsidRPr="0029748E">
              <w:rPr>
                <w:rFonts w:ascii="Verdana" w:hAnsi="Verdana" w:cs="Verdana"/>
              </w:rPr>
              <w:t>. Паи (акции) иностранного инвестиционного фонда обязаны  пройти  процедуру листинга на одной из следующих фондовых бирж:</w:t>
            </w:r>
          </w:p>
          <w:p w:rsidR="0090408E" w:rsidRPr="00640CB0" w:rsidRDefault="0090408E" w:rsidP="0090408E">
            <w:pPr>
              <w:ind w:firstLine="426"/>
              <w:rPr>
                <w:rFonts w:ascii="Verdana" w:hAnsi="Verdana" w:cs="Verdana"/>
              </w:rPr>
            </w:pPr>
            <w:r w:rsidRPr="00640CB0">
              <w:rPr>
                <w:rFonts w:ascii="Verdana" w:hAnsi="Verdana" w:cs="Verdana"/>
              </w:rPr>
              <w:t>1) Американская фондовая биржа (American Stock Exchange);</w:t>
            </w:r>
          </w:p>
          <w:p w:rsidR="0090408E" w:rsidRPr="00640CB0" w:rsidRDefault="0090408E" w:rsidP="0090408E">
            <w:pPr>
              <w:ind w:firstLine="426"/>
              <w:rPr>
                <w:rFonts w:ascii="Verdana" w:hAnsi="Verdana" w:cs="Verdana"/>
              </w:rPr>
            </w:pPr>
            <w:r w:rsidRPr="00640CB0">
              <w:rPr>
                <w:rFonts w:ascii="Verdana" w:hAnsi="Verdana" w:cs="Verdana"/>
              </w:rPr>
              <w:t>2) Гонконгская фондовая биржа (Hong Kong Stock Exchange);</w:t>
            </w:r>
          </w:p>
          <w:p w:rsidR="0090408E" w:rsidRPr="00640CB0" w:rsidRDefault="0090408E" w:rsidP="0090408E">
            <w:pPr>
              <w:ind w:firstLine="426"/>
              <w:rPr>
                <w:rFonts w:ascii="Verdana" w:hAnsi="Verdana" w:cs="Verdana"/>
                <w:lang w:val="en-US"/>
              </w:rPr>
            </w:pPr>
            <w:r w:rsidRPr="00640CB0">
              <w:rPr>
                <w:rFonts w:ascii="Verdana" w:hAnsi="Verdana" w:cs="Verdana"/>
                <w:lang w:val="en-US"/>
              </w:rPr>
              <w:t xml:space="preserve">3) </w:t>
            </w:r>
            <w:r w:rsidRPr="00640CB0">
              <w:rPr>
                <w:rFonts w:ascii="Verdana" w:hAnsi="Verdana" w:cs="Verdana"/>
              </w:rPr>
              <w:t>Евронекст</w:t>
            </w:r>
            <w:r w:rsidRPr="00640CB0">
              <w:rPr>
                <w:rFonts w:ascii="Verdana" w:hAnsi="Verdana" w:cs="Verdana"/>
                <w:lang w:val="en-US"/>
              </w:rPr>
              <w:t xml:space="preserve"> (Euronext Amsterdam, Euronext Brussels, Euronext Lisbon, Euronext Paris);</w:t>
            </w:r>
          </w:p>
          <w:p w:rsidR="0090408E" w:rsidRPr="00640CB0" w:rsidRDefault="0090408E" w:rsidP="0090408E">
            <w:pPr>
              <w:ind w:firstLine="426"/>
              <w:rPr>
                <w:rFonts w:ascii="Verdana" w:hAnsi="Verdana" w:cs="Verdana"/>
                <w:lang w:val="en-US"/>
              </w:rPr>
            </w:pPr>
            <w:r w:rsidRPr="00640CB0">
              <w:rPr>
                <w:rFonts w:ascii="Verdana" w:hAnsi="Verdana" w:cs="Verdana"/>
                <w:lang w:val="en-US"/>
              </w:rPr>
              <w:t xml:space="preserve">4) </w:t>
            </w:r>
            <w:r w:rsidRPr="00640CB0">
              <w:rPr>
                <w:rFonts w:ascii="Verdana" w:hAnsi="Verdana" w:cs="Verdana"/>
              </w:rPr>
              <w:t>Корейская</w:t>
            </w:r>
            <w:r w:rsidRPr="00640CB0">
              <w:rPr>
                <w:rFonts w:ascii="Verdana" w:hAnsi="Verdana" w:cs="Verdana"/>
                <w:lang w:val="en-US"/>
              </w:rPr>
              <w:t xml:space="preserve"> </w:t>
            </w:r>
            <w:r w:rsidRPr="00640CB0">
              <w:rPr>
                <w:rFonts w:ascii="Verdana" w:hAnsi="Verdana" w:cs="Verdana"/>
              </w:rPr>
              <w:t>биржа</w:t>
            </w:r>
            <w:r w:rsidRPr="00640CB0">
              <w:rPr>
                <w:rFonts w:ascii="Verdana" w:hAnsi="Verdana" w:cs="Verdana"/>
                <w:lang w:val="en-US"/>
              </w:rPr>
              <w:t xml:space="preserve"> (Korea Exchange);</w:t>
            </w:r>
          </w:p>
          <w:p w:rsidR="0090408E" w:rsidRPr="00640CB0" w:rsidRDefault="0090408E" w:rsidP="0090408E">
            <w:pPr>
              <w:ind w:firstLine="426"/>
              <w:rPr>
                <w:rFonts w:ascii="Verdana" w:hAnsi="Verdana" w:cs="Verdana"/>
                <w:lang w:val="en-US"/>
              </w:rPr>
            </w:pPr>
            <w:r w:rsidRPr="00640CB0">
              <w:rPr>
                <w:rFonts w:ascii="Verdana" w:hAnsi="Verdana" w:cs="Verdana"/>
                <w:lang w:val="en-US"/>
              </w:rPr>
              <w:t xml:space="preserve">5) </w:t>
            </w:r>
            <w:r w:rsidRPr="00640CB0">
              <w:rPr>
                <w:rFonts w:ascii="Verdana" w:hAnsi="Verdana" w:cs="Verdana"/>
              </w:rPr>
              <w:t>Лондонская</w:t>
            </w:r>
            <w:r w:rsidRPr="00640CB0">
              <w:rPr>
                <w:rFonts w:ascii="Verdana" w:hAnsi="Verdana" w:cs="Verdana"/>
                <w:lang w:val="en-US"/>
              </w:rPr>
              <w:t xml:space="preserve"> </w:t>
            </w:r>
            <w:r w:rsidRPr="00640CB0">
              <w:rPr>
                <w:rFonts w:ascii="Verdana" w:hAnsi="Verdana" w:cs="Verdana"/>
              </w:rPr>
              <w:t>фондовая</w:t>
            </w:r>
            <w:r w:rsidRPr="00640CB0">
              <w:rPr>
                <w:rFonts w:ascii="Verdana" w:hAnsi="Verdana" w:cs="Verdana"/>
                <w:lang w:val="en-US"/>
              </w:rPr>
              <w:t xml:space="preserve"> </w:t>
            </w:r>
            <w:r w:rsidRPr="00640CB0">
              <w:rPr>
                <w:rFonts w:ascii="Verdana" w:hAnsi="Verdana" w:cs="Verdana"/>
              </w:rPr>
              <w:t>биржа</w:t>
            </w:r>
            <w:r w:rsidRPr="00640CB0">
              <w:rPr>
                <w:rFonts w:ascii="Verdana" w:hAnsi="Verdana" w:cs="Verdana"/>
                <w:lang w:val="en-US"/>
              </w:rPr>
              <w:t xml:space="preserve"> (London Stock Exchange);</w:t>
            </w:r>
          </w:p>
          <w:p w:rsidR="0090408E" w:rsidRPr="00640CB0" w:rsidRDefault="0090408E" w:rsidP="0090408E">
            <w:pPr>
              <w:ind w:firstLine="426"/>
              <w:rPr>
                <w:rFonts w:ascii="Verdana" w:hAnsi="Verdana" w:cs="Verdana"/>
                <w:lang w:val="en-US"/>
              </w:rPr>
            </w:pPr>
            <w:r w:rsidRPr="00640CB0">
              <w:rPr>
                <w:rFonts w:ascii="Verdana" w:hAnsi="Verdana" w:cs="Verdana"/>
                <w:lang w:val="en-US"/>
              </w:rPr>
              <w:t xml:space="preserve">6) </w:t>
            </w:r>
            <w:r w:rsidRPr="00640CB0">
              <w:rPr>
                <w:rFonts w:ascii="Verdana" w:hAnsi="Verdana" w:cs="Verdana"/>
              </w:rPr>
              <w:t>Люксембургская</w:t>
            </w:r>
            <w:r w:rsidRPr="00640CB0">
              <w:rPr>
                <w:rFonts w:ascii="Verdana" w:hAnsi="Verdana" w:cs="Verdana"/>
                <w:lang w:val="en-US"/>
              </w:rPr>
              <w:t xml:space="preserve"> </w:t>
            </w:r>
            <w:r w:rsidRPr="00640CB0">
              <w:rPr>
                <w:rFonts w:ascii="Verdana" w:hAnsi="Verdana" w:cs="Verdana"/>
              </w:rPr>
              <w:t>фондовая</w:t>
            </w:r>
            <w:r w:rsidRPr="00640CB0">
              <w:rPr>
                <w:rFonts w:ascii="Verdana" w:hAnsi="Verdana" w:cs="Verdana"/>
                <w:lang w:val="en-US"/>
              </w:rPr>
              <w:t xml:space="preserve"> </w:t>
            </w:r>
            <w:r w:rsidRPr="00640CB0">
              <w:rPr>
                <w:rFonts w:ascii="Verdana" w:hAnsi="Verdana" w:cs="Verdana"/>
              </w:rPr>
              <w:t>биржа</w:t>
            </w:r>
            <w:r w:rsidRPr="00640CB0">
              <w:rPr>
                <w:rFonts w:ascii="Verdana" w:hAnsi="Verdana" w:cs="Verdana"/>
                <w:lang w:val="en-US"/>
              </w:rPr>
              <w:t xml:space="preserve"> (Luxembourg Stock Exchange);</w:t>
            </w:r>
          </w:p>
          <w:p w:rsidR="0090408E" w:rsidRPr="00640CB0" w:rsidRDefault="0090408E" w:rsidP="0090408E">
            <w:pPr>
              <w:ind w:firstLine="426"/>
              <w:rPr>
                <w:rFonts w:ascii="Verdana" w:hAnsi="Verdana" w:cs="Verdana"/>
                <w:lang w:val="en-US"/>
              </w:rPr>
            </w:pPr>
            <w:r w:rsidRPr="00640CB0">
              <w:rPr>
                <w:rFonts w:ascii="Verdana" w:hAnsi="Verdana" w:cs="Verdana"/>
                <w:lang w:val="en-US"/>
              </w:rPr>
              <w:t xml:space="preserve">7) </w:t>
            </w:r>
            <w:r w:rsidRPr="00640CB0">
              <w:rPr>
                <w:rFonts w:ascii="Verdana" w:hAnsi="Verdana" w:cs="Verdana"/>
              </w:rPr>
              <w:t>Насдак</w:t>
            </w:r>
            <w:r w:rsidRPr="00640CB0">
              <w:rPr>
                <w:rFonts w:ascii="Verdana" w:hAnsi="Verdana" w:cs="Verdana"/>
                <w:lang w:val="en-US"/>
              </w:rPr>
              <w:t xml:space="preserve"> (Nasdaq);</w:t>
            </w:r>
          </w:p>
          <w:p w:rsidR="0090408E" w:rsidRPr="00640CB0" w:rsidRDefault="0090408E" w:rsidP="0090408E">
            <w:pPr>
              <w:ind w:firstLine="426"/>
              <w:rPr>
                <w:rFonts w:ascii="Verdana" w:hAnsi="Verdana" w:cs="Verdana"/>
                <w:lang w:val="en-US"/>
              </w:rPr>
            </w:pPr>
            <w:r w:rsidRPr="00640CB0">
              <w:rPr>
                <w:rFonts w:ascii="Verdana" w:hAnsi="Verdana" w:cs="Verdana"/>
                <w:lang w:val="en-US"/>
              </w:rPr>
              <w:t xml:space="preserve">8) </w:t>
            </w:r>
            <w:r w:rsidRPr="00640CB0">
              <w:rPr>
                <w:rFonts w:ascii="Verdana" w:hAnsi="Verdana" w:cs="Verdana"/>
              </w:rPr>
              <w:t>Немецкая</w:t>
            </w:r>
            <w:r w:rsidRPr="00640CB0">
              <w:rPr>
                <w:rFonts w:ascii="Verdana" w:hAnsi="Verdana" w:cs="Verdana"/>
                <w:lang w:val="en-US"/>
              </w:rPr>
              <w:t xml:space="preserve"> </w:t>
            </w:r>
            <w:r w:rsidRPr="00640CB0">
              <w:rPr>
                <w:rFonts w:ascii="Verdana" w:hAnsi="Verdana" w:cs="Verdana"/>
              </w:rPr>
              <w:t>фондовая</w:t>
            </w:r>
            <w:r w:rsidRPr="00640CB0">
              <w:rPr>
                <w:rFonts w:ascii="Verdana" w:hAnsi="Verdana" w:cs="Verdana"/>
                <w:lang w:val="en-US"/>
              </w:rPr>
              <w:t xml:space="preserve"> </w:t>
            </w:r>
            <w:r w:rsidRPr="00640CB0">
              <w:rPr>
                <w:rFonts w:ascii="Verdana" w:hAnsi="Verdana" w:cs="Verdana"/>
              </w:rPr>
              <w:t>биржа</w:t>
            </w:r>
            <w:r w:rsidRPr="00640CB0">
              <w:rPr>
                <w:rFonts w:ascii="Verdana" w:hAnsi="Verdana" w:cs="Verdana"/>
                <w:lang w:val="en-US"/>
              </w:rPr>
              <w:t xml:space="preserve"> (Deutsche Borse);</w:t>
            </w:r>
          </w:p>
          <w:p w:rsidR="0090408E" w:rsidRPr="00640CB0" w:rsidRDefault="0090408E" w:rsidP="0090408E">
            <w:pPr>
              <w:ind w:firstLine="426"/>
              <w:rPr>
                <w:rFonts w:ascii="Verdana" w:hAnsi="Verdana" w:cs="Verdana"/>
                <w:lang w:val="en-US"/>
              </w:rPr>
            </w:pPr>
            <w:r w:rsidRPr="00640CB0">
              <w:rPr>
                <w:rFonts w:ascii="Verdana" w:hAnsi="Verdana" w:cs="Verdana"/>
                <w:lang w:val="en-US"/>
              </w:rPr>
              <w:t xml:space="preserve">9) </w:t>
            </w:r>
            <w:r w:rsidRPr="00640CB0">
              <w:rPr>
                <w:rFonts w:ascii="Verdana" w:hAnsi="Verdana" w:cs="Verdana"/>
              </w:rPr>
              <w:t>Нью</w:t>
            </w:r>
            <w:r w:rsidRPr="00640CB0">
              <w:rPr>
                <w:rFonts w:ascii="Verdana" w:hAnsi="Verdana" w:cs="Verdana"/>
                <w:lang w:val="en-US"/>
              </w:rPr>
              <w:t>-</w:t>
            </w:r>
            <w:r w:rsidRPr="00640CB0">
              <w:rPr>
                <w:rFonts w:ascii="Verdana" w:hAnsi="Verdana" w:cs="Verdana"/>
              </w:rPr>
              <w:t>Йоркская</w:t>
            </w:r>
            <w:r w:rsidRPr="00640CB0">
              <w:rPr>
                <w:rFonts w:ascii="Verdana" w:hAnsi="Verdana" w:cs="Verdana"/>
                <w:lang w:val="en-US"/>
              </w:rPr>
              <w:t xml:space="preserve"> </w:t>
            </w:r>
            <w:r w:rsidRPr="00640CB0">
              <w:rPr>
                <w:rFonts w:ascii="Verdana" w:hAnsi="Verdana" w:cs="Verdana"/>
              </w:rPr>
              <w:t>фондовая</w:t>
            </w:r>
            <w:r w:rsidRPr="00640CB0">
              <w:rPr>
                <w:rFonts w:ascii="Verdana" w:hAnsi="Verdana" w:cs="Verdana"/>
                <w:lang w:val="en-US"/>
              </w:rPr>
              <w:t xml:space="preserve"> </w:t>
            </w:r>
            <w:r w:rsidRPr="00640CB0">
              <w:rPr>
                <w:rFonts w:ascii="Verdana" w:hAnsi="Verdana" w:cs="Verdana"/>
              </w:rPr>
              <w:t>биржа</w:t>
            </w:r>
            <w:r w:rsidRPr="00640CB0">
              <w:rPr>
                <w:rFonts w:ascii="Verdana" w:hAnsi="Verdana" w:cs="Verdana"/>
                <w:lang w:val="en-US"/>
              </w:rPr>
              <w:t xml:space="preserve"> (New York Stock Exchange);</w:t>
            </w:r>
          </w:p>
          <w:p w:rsidR="0090408E" w:rsidRPr="00640CB0" w:rsidRDefault="0090408E" w:rsidP="0090408E">
            <w:pPr>
              <w:ind w:firstLine="426"/>
              <w:rPr>
                <w:rFonts w:ascii="Verdana" w:hAnsi="Verdana" w:cs="Verdana"/>
                <w:lang w:val="en-US"/>
              </w:rPr>
            </w:pPr>
            <w:r w:rsidRPr="00640CB0">
              <w:rPr>
                <w:rFonts w:ascii="Verdana" w:hAnsi="Verdana" w:cs="Verdana"/>
                <w:lang w:val="en-US"/>
              </w:rPr>
              <w:t xml:space="preserve">10) </w:t>
            </w:r>
            <w:r w:rsidRPr="00640CB0">
              <w:rPr>
                <w:rFonts w:ascii="Verdana" w:hAnsi="Verdana" w:cs="Verdana"/>
              </w:rPr>
              <w:t>Токийская</w:t>
            </w:r>
            <w:r w:rsidRPr="00640CB0">
              <w:rPr>
                <w:rFonts w:ascii="Verdana" w:hAnsi="Verdana" w:cs="Verdana"/>
                <w:lang w:val="en-US"/>
              </w:rPr>
              <w:t xml:space="preserve"> </w:t>
            </w:r>
            <w:r w:rsidRPr="00640CB0">
              <w:rPr>
                <w:rFonts w:ascii="Verdana" w:hAnsi="Verdana" w:cs="Verdana"/>
              </w:rPr>
              <w:t>фондовая</w:t>
            </w:r>
            <w:r w:rsidRPr="00640CB0">
              <w:rPr>
                <w:rFonts w:ascii="Verdana" w:hAnsi="Verdana" w:cs="Verdana"/>
                <w:lang w:val="en-US"/>
              </w:rPr>
              <w:t xml:space="preserve"> </w:t>
            </w:r>
            <w:r w:rsidRPr="00640CB0">
              <w:rPr>
                <w:rFonts w:ascii="Verdana" w:hAnsi="Verdana" w:cs="Verdana"/>
              </w:rPr>
              <w:t>биржа</w:t>
            </w:r>
            <w:r w:rsidRPr="00640CB0">
              <w:rPr>
                <w:rFonts w:ascii="Verdana" w:hAnsi="Verdana" w:cs="Verdana"/>
                <w:lang w:val="en-US"/>
              </w:rPr>
              <w:t xml:space="preserve"> (Tokyo Stock Exchange Group);</w:t>
            </w:r>
          </w:p>
          <w:p w:rsidR="0090408E" w:rsidRPr="00640CB0" w:rsidRDefault="0090408E" w:rsidP="0090408E">
            <w:pPr>
              <w:ind w:firstLine="426"/>
              <w:rPr>
                <w:rFonts w:ascii="Verdana" w:hAnsi="Verdana" w:cs="Verdana"/>
                <w:lang w:val="en-US"/>
              </w:rPr>
            </w:pPr>
            <w:r w:rsidRPr="00640CB0">
              <w:rPr>
                <w:rFonts w:ascii="Verdana" w:hAnsi="Verdana" w:cs="Verdana"/>
                <w:lang w:val="en-US"/>
              </w:rPr>
              <w:t xml:space="preserve">11) </w:t>
            </w:r>
            <w:r w:rsidRPr="00640CB0">
              <w:rPr>
                <w:rFonts w:ascii="Verdana" w:hAnsi="Verdana" w:cs="Verdana"/>
              </w:rPr>
              <w:t>Фондовая</w:t>
            </w:r>
            <w:r w:rsidRPr="00640CB0">
              <w:rPr>
                <w:rFonts w:ascii="Verdana" w:hAnsi="Verdana" w:cs="Verdana"/>
                <w:lang w:val="en-US"/>
              </w:rPr>
              <w:t xml:space="preserve"> </w:t>
            </w:r>
            <w:r w:rsidRPr="00640CB0">
              <w:rPr>
                <w:rFonts w:ascii="Verdana" w:hAnsi="Verdana" w:cs="Verdana"/>
              </w:rPr>
              <w:t>биржа</w:t>
            </w:r>
            <w:r w:rsidRPr="00640CB0">
              <w:rPr>
                <w:rFonts w:ascii="Verdana" w:hAnsi="Verdana" w:cs="Verdana"/>
                <w:lang w:val="en-US"/>
              </w:rPr>
              <w:t xml:space="preserve"> </w:t>
            </w:r>
            <w:r w:rsidRPr="00640CB0">
              <w:rPr>
                <w:rFonts w:ascii="Verdana" w:hAnsi="Verdana" w:cs="Verdana"/>
              </w:rPr>
              <w:t>Торонто</w:t>
            </w:r>
            <w:r w:rsidRPr="00640CB0">
              <w:rPr>
                <w:rFonts w:ascii="Verdana" w:hAnsi="Verdana" w:cs="Verdana"/>
                <w:lang w:val="en-US"/>
              </w:rPr>
              <w:t xml:space="preserve"> (Toronto Stock Exchange, TSX Group);</w:t>
            </w:r>
          </w:p>
          <w:p w:rsidR="0090408E" w:rsidRPr="00640CB0" w:rsidRDefault="0090408E" w:rsidP="0090408E">
            <w:pPr>
              <w:ind w:firstLine="426"/>
              <w:rPr>
                <w:rFonts w:ascii="Verdana" w:hAnsi="Verdana" w:cs="Verdana"/>
              </w:rPr>
            </w:pPr>
            <w:r w:rsidRPr="00640CB0">
              <w:rPr>
                <w:rFonts w:ascii="Verdana" w:hAnsi="Verdana" w:cs="Verdana"/>
              </w:rPr>
              <w:t>12) Фондовая биржа Швейцарии (Swiss Exchange);</w:t>
            </w:r>
          </w:p>
          <w:p w:rsidR="0090408E" w:rsidRPr="0029748E" w:rsidRDefault="0090408E" w:rsidP="0090408E">
            <w:pPr>
              <w:ind w:firstLine="426"/>
              <w:rPr>
                <w:rFonts w:ascii="Verdana" w:hAnsi="Verdana" w:cs="Verdana"/>
              </w:rPr>
            </w:pPr>
            <w:r w:rsidRPr="00640CB0">
              <w:rPr>
                <w:rFonts w:ascii="Verdana" w:hAnsi="Verdana" w:cs="Verdana"/>
              </w:rPr>
              <w:t>13) Шанхайская фондовая биржа (Shanghai Stock Exchange).</w:t>
            </w:r>
          </w:p>
          <w:p w:rsidR="001477F4" w:rsidRPr="00CF3829" w:rsidRDefault="001477F4" w:rsidP="00F66EA0">
            <w:pPr>
              <w:spacing w:line="240" w:lineRule="atLeast"/>
              <w:jc w:val="both"/>
              <w:rPr>
                <w:rFonts w:ascii="Verdana" w:hAnsi="Verdana" w:cs="Verdana"/>
                <w:b/>
                <w:bCs/>
                <w:sz w:val="18"/>
                <w:szCs w:val="18"/>
              </w:rPr>
            </w:pPr>
          </w:p>
        </w:tc>
      </w:tr>
      <w:tr w:rsidR="00F02AA7" w:rsidRPr="00CF3829">
        <w:tblPrEx>
          <w:tblCellMar>
            <w:top w:w="0" w:type="dxa"/>
            <w:bottom w:w="0" w:type="dxa"/>
          </w:tblCellMar>
        </w:tblPrEx>
        <w:tc>
          <w:tcPr>
            <w:tcW w:w="5211" w:type="dxa"/>
          </w:tcPr>
          <w:p w:rsidR="0090408E" w:rsidRPr="000A35E6" w:rsidRDefault="0090408E" w:rsidP="0090408E">
            <w:pPr>
              <w:ind w:firstLine="540"/>
              <w:rPr>
                <w:rFonts w:ascii="Verdana" w:hAnsi="Verdana" w:cs="Verdana"/>
              </w:rPr>
            </w:pPr>
            <w:r>
              <w:rPr>
                <w:rFonts w:ascii="Verdana" w:hAnsi="Verdana" w:cs="Verdana"/>
              </w:rPr>
              <w:lastRenderedPageBreak/>
              <w:t>23.</w:t>
            </w:r>
            <w:r w:rsidRPr="001B249A">
              <w:rPr>
                <w:rFonts w:ascii="Verdana" w:hAnsi="Verdana" w:cs="Verdana"/>
              </w:rPr>
              <w:t>4</w:t>
            </w:r>
            <w:r w:rsidRPr="000A35E6">
              <w:rPr>
                <w:rFonts w:ascii="Verdana" w:hAnsi="Verdana" w:cs="Verdana"/>
              </w:rPr>
              <w:t>. В состав активов фонда могут входить обыкновенные акции акционерных инвестиционных фондов и инвестиционные паи паевых инвестиционных фондов, относящихся к следующим категориями:</w:t>
            </w:r>
          </w:p>
          <w:p w:rsidR="0090408E" w:rsidRPr="001A48F0" w:rsidRDefault="0090408E" w:rsidP="0090408E">
            <w:pPr>
              <w:ind w:firstLine="426"/>
              <w:rPr>
                <w:rFonts w:ascii="Verdana" w:hAnsi="Verdana" w:cs="Verdana"/>
              </w:rPr>
            </w:pPr>
            <w:r w:rsidRPr="001A48F0">
              <w:rPr>
                <w:rFonts w:ascii="Verdana" w:hAnsi="Verdana" w:cs="Verdana"/>
              </w:rPr>
              <w:t>- фонд денежного рынка;</w:t>
            </w:r>
          </w:p>
          <w:p w:rsidR="0090408E" w:rsidRPr="001A48F0" w:rsidRDefault="0090408E" w:rsidP="0090408E">
            <w:pPr>
              <w:ind w:firstLine="426"/>
              <w:rPr>
                <w:rFonts w:ascii="Verdana" w:hAnsi="Verdana" w:cs="Verdana"/>
              </w:rPr>
            </w:pPr>
            <w:r w:rsidRPr="001A48F0">
              <w:rPr>
                <w:rFonts w:ascii="Verdana" w:hAnsi="Verdana" w:cs="Verdana"/>
              </w:rPr>
              <w:t>- фонд облигаций;</w:t>
            </w:r>
          </w:p>
          <w:p w:rsidR="0090408E" w:rsidRPr="001A48F0" w:rsidRDefault="0090408E" w:rsidP="0090408E">
            <w:pPr>
              <w:ind w:firstLine="426"/>
              <w:rPr>
                <w:rFonts w:ascii="Verdana" w:hAnsi="Verdana" w:cs="Verdana"/>
              </w:rPr>
            </w:pPr>
            <w:r w:rsidRPr="001A48F0">
              <w:rPr>
                <w:rFonts w:ascii="Verdana" w:hAnsi="Verdana" w:cs="Verdana"/>
              </w:rPr>
              <w:t>- фонд акций;</w:t>
            </w:r>
          </w:p>
          <w:p w:rsidR="0090408E" w:rsidRDefault="0090408E" w:rsidP="0090408E">
            <w:pPr>
              <w:ind w:firstLine="426"/>
              <w:rPr>
                <w:rFonts w:ascii="Verdana" w:hAnsi="Verdana" w:cs="Verdana"/>
              </w:rPr>
            </w:pPr>
            <w:r w:rsidRPr="001A48F0">
              <w:rPr>
                <w:rFonts w:ascii="Verdana" w:hAnsi="Verdana" w:cs="Verdana"/>
              </w:rPr>
              <w:t>- фонд смешанных инвестиций;</w:t>
            </w:r>
          </w:p>
          <w:p w:rsidR="0090408E" w:rsidRDefault="0090408E" w:rsidP="0090408E">
            <w:pPr>
              <w:ind w:firstLine="426"/>
              <w:rPr>
                <w:rFonts w:ascii="Verdana" w:hAnsi="Verdana" w:cs="Verdana"/>
              </w:rPr>
            </w:pPr>
            <w:r>
              <w:rPr>
                <w:rFonts w:ascii="Verdana" w:hAnsi="Verdana" w:cs="Verdana"/>
              </w:rPr>
              <w:t>- фонд прямых инвестиций;</w:t>
            </w:r>
          </w:p>
          <w:p w:rsidR="0090408E" w:rsidRPr="00C77314" w:rsidRDefault="0090408E" w:rsidP="0090408E">
            <w:pPr>
              <w:ind w:firstLine="426"/>
              <w:rPr>
                <w:rFonts w:ascii="Verdana" w:hAnsi="Verdana" w:cs="Verdana"/>
              </w:rPr>
            </w:pPr>
            <w:r>
              <w:rPr>
                <w:rFonts w:ascii="Verdana" w:hAnsi="Verdana" w:cs="Verdana"/>
              </w:rPr>
              <w:t>- фонд особо рисковых (венчурных) инвестиций;</w:t>
            </w:r>
          </w:p>
          <w:p w:rsidR="0090408E" w:rsidRPr="001A48F0" w:rsidRDefault="0090408E" w:rsidP="0090408E">
            <w:pPr>
              <w:ind w:firstLine="426"/>
              <w:rPr>
                <w:rFonts w:ascii="Verdana" w:hAnsi="Verdana" w:cs="Verdana"/>
              </w:rPr>
            </w:pPr>
            <w:r w:rsidRPr="001A48F0">
              <w:rPr>
                <w:rFonts w:ascii="Verdana" w:hAnsi="Verdana" w:cs="Verdana"/>
              </w:rPr>
              <w:t>- рентный фонд;</w:t>
            </w:r>
          </w:p>
          <w:p w:rsidR="0090408E" w:rsidRPr="001A48F0" w:rsidRDefault="0090408E" w:rsidP="0090408E">
            <w:pPr>
              <w:ind w:firstLine="426"/>
              <w:rPr>
                <w:rFonts w:ascii="Verdana" w:hAnsi="Verdana" w:cs="Verdana"/>
              </w:rPr>
            </w:pPr>
            <w:r w:rsidRPr="001A48F0">
              <w:rPr>
                <w:rFonts w:ascii="Verdana" w:hAnsi="Verdana" w:cs="Verdana"/>
              </w:rPr>
              <w:t>- фонд недвижимости;</w:t>
            </w:r>
          </w:p>
          <w:p w:rsidR="0090408E" w:rsidRPr="001A48F0" w:rsidRDefault="0090408E" w:rsidP="0090408E">
            <w:pPr>
              <w:ind w:firstLine="426"/>
              <w:rPr>
                <w:rFonts w:ascii="Verdana" w:hAnsi="Verdana" w:cs="Verdana"/>
              </w:rPr>
            </w:pPr>
            <w:r w:rsidRPr="001A48F0">
              <w:rPr>
                <w:rFonts w:ascii="Verdana" w:hAnsi="Verdana" w:cs="Verdana"/>
              </w:rPr>
              <w:t>- ипотечный фонд;</w:t>
            </w:r>
          </w:p>
          <w:p w:rsidR="0090408E" w:rsidRPr="006B2C85" w:rsidRDefault="0090408E" w:rsidP="0090408E">
            <w:pPr>
              <w:ind w:firstLine="426"/>
              <w:rPr>
                <w:rFonts w:ascii="Verdana" w:hAnsi="Verdana" w:cs="Verdana"/>
              </w:rPr>
            </w:pPr>
            <w:r w:rsidRPr="001A48F0">
              <w:rPr>
                <w:rFonts w:ascii="Verdana" w:hAnsi="Verdana" w:cs="Verdana"/>
              </w:rPr>
              <w:t>- индексный фонд;</w:t>
            </w:r>
          </w:p>
          <w:p w:rsidR="0090408E" w:rsidRPr="006B2C85" w:rsidRDefault="0090408E" w:rsidP="0090408E">
            <w:pPr>
              <w:ind w:firstLine="426"/>
              <w:rPr>
                <w:rFonts w:ascii="Verdana" w:hAnsi="Verdana" w:cs="Verdana"/>
              </w:rPr>
            </w:pPr>
            <w:r w:rsidRPr="006B2C85">
              <w:rPr>
                <w:rFonts w:ascii="Verdana" w:hAnsi="Verdana" w:cs="Verdana"/>
              </w:rPr>
              <w:t xml:space="preserve">- </w:t>
            </w:r>
            <w:r>
              <w:rPr>
                <w:rFonts w:ascii="Verdana" w:hAnsi="Verdana" w:cs="Verdana"/>
              </w:rPr>
              <w:t>кредитный фонд</w:t>
            </w:r>
            <w:r w:rsidRPr="006B2C85">
              <w:rPr>
                <w:rFonts w:ascii="Verdana" w:hAnsi="Verdana" w:cs="Verdana"/>
              </w:rPr>
              <w:t>;</w:t>
            </w:r>
          </w:p>
          <w:p w:rsidR="0090408E" w:rsidRPr="006B2C85" w:rsidRDefault="0090408E" w:rsidP="0090408E">
            <w:pPr>
              <w:ind w:firstLine="426"/>
              <w:rPr>
                <w:rFonts w:ascii="Verdana" w:hAnsi="Verdana" w:cs="Verdana"/>
              </w:rPr>
            </w:pPr>
            <w:r w:rsidRPr="001A48F0">
              <w:rPr>
                <w:rFonts w:ascii="Verdana" w:hAnsi="Verdana" w:cs="Verdana"/>
              </w:rPr>
              <w:t>- фонд товарного рынка;</w:t>
            </w:r>
          </w:p>
          <w:p w:rsidR="0090408E" w:rsidRPr="006B2C85" w:rsidRDefault="0090408E" w:rsidP="0090408E">
            <w:pPr>
              <w:ind w:firstLine="426"/>
              <w:rPr>
                <w:rFonts w:ascii="Verdana" w:hAnsi="Verdana" w:cs="Verdana"/>
              </w:rPr>
            </w:pPr>
            <w:r w:rsidRPr="006B2C85">
              <w:rPr>
                <w:rFonts w:ascii="Verdana" w:hAnsi="Verdana" w:cs="Verdana"/>
              </w:rPr>
              <w:t xml:space="preserve">- </w:t>
            </w:r>
            <w:r>
              <w:rPr>
                <w:rFonts w:ascii="Verdana" w:hAnsi="Verdana" w:cs="Verdana"/>
              </w:rPr>
              <w:t>хедж-фонд</w:t>
            </w:r>
            <w:r w:rsidRPr="006B2C85">
              <w:rPr>
                <w:rFonts w:ascii="Verdana" w:hAnsi="Verdana" w:cs="Verdana"/>
              </w:rPr>
              <w:t>;</w:t>
            </w:r>
          </w:p>
          <w:p w:rsidR="00F02AA7" w:rsidRPr="00CF3829" w:rsidRDefault="00F02AA7" w:rsidP="00C43F08">
            <w:pPr>
              <w:spacing w:line="240" w:lineRule="atLeast"/>
              <w:rPr>
                <w:rFonts w:ascii="Verdana" w:hAnsi="Verdana" w:cs="Verdana"/>
                <w:b/>
                <w:bCs/>
                <w:sz w:val="18"/>
                <w:szCs w:val="18"/>
              </w:rPr>
            </w:pPr>
          </w:p>
        </w:tc>
        <w:tc>
          <w:tcPr>
            <w:tcW w:w="5211" w:type="dxa"/>
          </w:tcPr>
          <w:p w:rsidR="0090408E" w:rsidRPr="0029748E" w:rsidRDefault="0090408E" w:rsidP="0090408E">
            <w:pPr>
              <w:ind w:firstLine="540"/>
              <w:rPr>
                <w:rFonts w:ascii="Verdana" w:hAnsi="Verdana" w:cs="Verdana"/>
              </w:rPr>
            </w:pPr>
            <w:r w:rsidRPr="0029748E">
              <w:rPr>
                <w:rFonts w:ascii="Verdana" w:hAnsi="Verdana" w:cs="Verdana"/>
              </w:rPr>
              <w:t>23.4. 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90408E" w:rsidRPr="0029748E" w:rsidRDefault="0090408E" w:rsidP="0090408E">
            <w:pPr>
              <w:ind w:firstLine="540"/>
              <w:rPr>
                <w:rFonts w:ascii="Verdana" w:hAnsi="Verdana" w:cs="Verdana"/>
              </w:rPr>
            </w:pPr>
            <w:r w:rsidRPr="0029748E">
              <w:rPr>
                <w:rFonts w:ascii="Verdana" w:hAnsi="Verdana" w:cs="Verdana"/>
              </w:rPr>
              <w:t>а) объем торгов по ценной бумаге за предыдущий календарный месяц на одной из иностранных фондовых бирж, указанных</w:t>
            </w:r>
            <w:r>
              <w:rPr>
                <w:rFonts w:ascii="Verdana" w:hAnsi="Verdana" w:cs="Verdana"/>
              </w:rPr>
              <w:t xml:space="preserve"> в пункте 23.</w:t>
            </w:r>
            <w:r w:rsidRPr="0029748E">
              <w:rPr>
                <w:rFonts w:ascii="Verdana" w:hAnsi="Verdana" w:cs="Verdana"/>
              </w:rPr>
              <w:t>3 настоящих  Правил, превышает 1 миллион долларов США паев (акций) иностранных инвестиционных фондов</w:t>
            </w:r>
            <w:r w:rsidRPr="00581841">
              <w:rPr>
                <w:rFonts w:ascii="Verdana" w:hAnsi="Verdana" w:cs="Verdana"/>
              </w:rPr>
              <w:t>;</w:t>
            </w:r>
            <w:r w:rsidRPr="0029748E">
              <w:rPr>
                <w:rFonts w:ascii="Verdana" w:hAnsi="Verdana" w:cs="Verdana"/>
              </w:rPr>
              <w:t xml:space="preserve"> </w:t>
            </w:r>
          </w:p>
          <w:p w:rsidR="0090408E" w:rsidRPr="0029748E" w:rsidRDefault="0090408E" w:rsidP="0090408E">
            <w:pPr>
              <w:ind w:firstLine="540"/>
              <w:rPr>
                <w:rFonts w:ascii="Verdana" w:hAnsi="Verdana" w:cs="Verdana"/>
              </w:rPr>
            </w:pPr>
            <w:r w:rsidRPr="0029748E">
              <w:rPr>
                <w:rFonts w:ascii="Verdana" w:hAnsi="Verdana" w:cs="Verdana"/>
              </w:rPr>
              <w:t>б)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7B4570" w:rsidRPr="0029748E" w:rsidRDefault="007B4570" w:rsidP="007B4570">
            <w:pPr>
              <w:ind w:firstLine="540"/>
              <w:rPr>
                <w:rFonts w:ascii="Verdana" w:hAnsi="Verdana" w:cs="Verdana"/>
              </w:rPr>
            </w:pPr>
            <w:r w:rsidRPr="0029748E">
              <w:rPr>
                <w:rFonts w:ascii="Verdana" w:hAnsi="Verdana" w:cs="Verdana"/>
              </w:rPr>
              <w:t>в)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7B4570" w:rsidRPr="0029748E" w:rsidRDefault="007B4570" w:rsidP="007B4570">
            <w:pPr>
              <w:ind w:firstLine="540"/>
              <w:rPr>
                <w:rFonts w:ascii="Verdana" w:hAnsi="Verdana" w:cs="Verdana"/>
              </w:rPr>
            </w:pPr>
            <w:r w:rsidRPr="0029748E">
              <w:rPr>
                <w:rFonts w:ascii="Verdana" w:hAnsi="Verdana" w:cs="Verdana"/>
              </w:rPr>
              <w:t>г) на торговый день, предшествующий текущему дню, в информационной системе Томсон Рейтерс (Thompson Reuters) были одновременно выставлены заявки на покупку и на продажу ценных бумаг как минимум тремя дилерами, при этом композитная цена на покупку ценных бумаг (Thompson Reuters Composite bid) отклоняется от композитной цены на продажу ценных бумаг (Thompson Reuters Composite ask) не более чем на 5 процентов.</w:t>
            </w:r>
          </w:p>
          <w:p w:rsidR="00F02AA7" w:rsidRPr="00CF3829" w:rsidRDefault="00F02AA7" w:rsidP="00F66EA0">
            <w:pPr>
              <w:spacing w:line="240" w:lineRule="atLeast"/>
              <w:rPr>
                <w:rFonts w:ascii="Verdana" w:hAnsi="Verdana" w:cs="Verdana"/>
                <w:b/>
                <w:bCs/>
                <w:sz w:val="18"/>
                <w:szCs w:val="18"/>
              </w:rPr>
            </w:pPr>
          </w:p>
        </w:tc>
      </w:tr>
      <w:tr w:rsidR="006C229B" w:rsidRPr="00CF3829">
        <w:tblPrEx>
          <w:tblCellMar>
            <w:top w:w="0" w:type="dxa"/>
            <w:bottom w:w="0" w:type="dxa"/>
          </w:tblCellMar>
        </w:tblPrEx>
        <w:tc>
          <w:tcPr>
            <w:tcW w:w="5211" w:type="dxa"/>
          </w:tcPr>
          <w:p w:rsidR="004D68FB" w:rsidRPr="000A35E6" w:rsidRDefault="004D68FB" w:rsidP="004D68FB">
            <w:pPr>
              <w:ind w:firstLine="360"/>
              <w:rPr>
                <w:rFonts w:ascii="Verdana" w:hAnsi="Verdana" w:cs="Verdana"/>
              </w:rPr>
            </w:pPr>
            <w:r>
              <w:rPr>
                <w:rFonts w:ascii="Verdana" w:hAnsi="Verdana" w:cs="Verdana"/>
              </w:rPr>
              <w:t>23.</w:t>
            </w:r>
            <w:r w:rsidRPr="001B249A">
              <w:rPr>
                <w:rFonts w:ascii="Verdana" w:hAnsi="Verdana" w:cs="Verdana"/>
              </w:rPr>
              <w:t>5</w:t>
            </w:r>
            <w:r w:rsidRPr="000A35E6">
              <w:rPr>
                <w:rFonts w:ascii="Verdana" w:hAnsi="Verdana" w:cs="Verdana"/>
              </w:rPr>
              <w:t>. Лица, обязанные по:</w:t>
            </w:r>
          </w:p>
          <w:p w:rsidR="004D68FB" w:rsidRPr="000A35E6" w:rsidRDefault="004D68FB" w:rsidP="004D68FB">
            <w:pPr>
              <w:ind w:firstLine="540"/>
              <w:rPr>
                <w:rFonts w:ascii="Verdana" w:hAnsi="Verdana" w:cs="Verdana"/>
              </w:rPr>
            </w:pPr>
            <w:r w:rsidRPr="000A35E6">
              <w:rPr>
                <w:rFonts w:ascii="Verdana" w:hAnsi="Verdana" w:cs="Verdana"/>
                <w:color w:val="000000"/>
              </w:rPr>
              <w:t>ипотечны</w:t>
            </w:r>
            <w:r>
              <w:rPr>
                <w:rFonts w:ascii="Verdana" w:hAnsi="Verdana" w:cs="Verdana"/>
                <w:color w:val="000000"/>
              </w:rPr>
              <w:t>м</w:t>
            </w:r>
            <w:r w:rsidRPr="000A35E6">
              <w:rPr>
                <w:rFonts w:ascii="Verdana" w:hAnsi="Verdana" w:cs="Verdana"/>
                <w:color w:val="000000"/>
              </w:rPr>
              <w:t xml:space="preserve"> сертификат</w:t>
            </w:r>
            <w:r>
              <w:rPr>
                <w:rFonts w:ascii="Verdana" w:hAnsi="Verdana" w:cs="Verdana"/>
                <w:color w:val="000000"/>
              </w:rPr>
              <w:t>ам</w:t>
            </w:r>
            <w:r w:rsidRPr="000A35E6">
              <w:rPr>
                <w:rFonts w:ascii="Verdana" w:hAnsi="Verdana" w:cs="Verdana"/>
                <w:color w:val="000000"/>
              </w:rPr>
              <w:t xml:space="preserve"> участия</w:t>
            </w:r>
            <w:r>
              <w:rPr>
                <w:rFonts w:ascii="Verdana" w:hAnsi="Verdana" w:cs="Verdana"/>
                <w:color w:val="000000"/>
              </w:rPr>
              <w:t>,</w:t>
            </w:r>
            <w:r w:rsidRPr="000A35E6">
              <w:rPr>
                <w:rFonts w:ascii="Verdana" w:hAnsi="Verdana" w:cs="Verdana"/>
              </w:rPr>
              <w:t xml:space="preserve"> государственным ценным бумагам Российской Федерации, государственным ценным бумагам субъектов Российской Федерации, муници</w:t>
            </w:r>
            <w:r>
              <w:rPr>
                <w:rFonts w:ascii="Verdana" w:hAnsi="Verdana" w:cs="Verdana"/>
              </w:rPr>
              <w:t>пальным ценным бумагам,</w:t>
            </w:r>
            <w:r w:rsidRPr="000A35E6">
              <w:rPr>
                <w:rFonts w:ascii="Verdana" w:hAnsi="Verdana" w:cs="Verdana"/>
              </w:rPr>
              <w:t xml:space="preserve"> облигациям российских хозяйственных обществ, инвестиционным паям паевых инвестиционных фондов, акциям акционерных инвестиционных фондов,</w:t>
            </w:r>
            <w:r w:rsidRPr="005C30F2">
              <w:rPr>
                <w:rFonts w:ascii="Verdana" w:hAnsi="Verdana" w:cs="Verdana"/>
              </w:rPr>
              <w:t xml:space="preserve"> </w:t>
            </w:r>
            <w:r>
              <w:rPr>
                <w:rFonts w:ascii="Verdana" w:hAnsi="Verdana" w:cs="Verdana"/>
              </w:rPr>
              <w:t>российским депозитарным распискам,</w:t>
            </w:r>
            <w:r w:rsidRPr="000A35E6">
              <w:rPr>
                <w:rFonts w:ascii="Verdana" w:hAnsi="Verdana" w:cs="Verdana"/>
              </w:rPr>
              <w:t xml:space="preserve">  должны быть зарегистрированы в Российской Федерации;</w:t>
            </w:r>
          </w:p>
          <w:p w:rsidR="004D68FB" w:rsidRPr="005D3D7F" w:rsidRDefault="004D68FB" w:rsidP="004D68FB">
            <w:pPr>
              <w:numPr>
                <w:ilvl w:val="0"/>
                <w:numId w:val="42"/>
              </w:numPr>
              <w:tabs>
                <w:tab w:val="clear" w:pos="1146"/>
                <w:tab w:val="num" w:pos="0"/>
              </w:tabs>
              <w:ind w:left="0" w:firstLine="426"/>
              <w:jc w:val="both"/>
              <w:rPr>
                <w:rFonts w:ascii="Verdana" w:hAnsi="Verdana" w:cs="Verdana"/>
              </w:rPr>
            </w:pPr>
            <w:r w:rsidRPr="001A48F0">
              <w:rPr>
                <w:rFonts w:ascii="Verdana" w:hAnsi="Verdana" w:cs="Verdana"/>
              </w:rPr>
              <w:t>облигациям иностранных эмитентов,</w:t>
            </w:r>
            <w:r>
              <w:rPr>
                <w:rFonts w:ascii="Verdana" w:hAnsi="Verdana" w:cs="Verdana"/>
              </w:rPr>
              <w:t xml:space="preserve"> облигациям международных финансовых организаций, иностранным депозитарным распискам</w:t>
            </w:r>
            <w:r w:rsidRPr="001A48F0">
              <w:rPr>
                <w:rFonts w:ascii="Verdana" w:hAnsi="Verdana" w:cs="Verdana"/>
              </w:rPr>
              <w:t xml:space="preserve">  должны быть зарегистрированы в Соединенных Штатах Америки, Соединенном Королевстве Великобритании и Северной Ирландии, Федеративной Республике Германия, Республике Кипр и (или) в </w:t>
            </w:r>
            <w:r w:rsidRPr="001A48F0">
              <w:rPr>
                <w:rFonts w:ascii="Verdana" w:hAnsi="Verdana" w:cs="Verdana"/>
              </w:rPr>
              <w:lastRenderedPageBreak/>
              <w:t>государствах, являющихся членами Европейского Союза и (или) Группы разработки финансовых мер борьбы с отмыванием денег (ФАТФ).</w:t>
            </w:r>
          </w:p>
          <w:p w:rsidR="006C229B" w:rsidRPr="00CF3829" w:rsidRDefault="006C229B" w:rsidP="009C31F5">
            <w:pPr>
              <w:rPr>
                <w:rFonts w:ascii="Verdana" w:hAnsi="Verdana" w:cs="Verdana"/>
                <w:sz w:val="18"/>
                <w:szCs w:val="18"/>
              </w:rPr>
            </w:pPr>
          </w:p>
        </w:tc>
        <w:tc>
          <w:tcPr>
            <w:tcW w:w="5211" w:type="dxa"/>
          </w:tcPr>
          <w:p w:rsidR="006C229B" w:rsidRPr="004D68FB" w:rsidRDefault="004D68FB" w:rsidP="009C31F5">
            <w:pPr>
              <w:pStyle w:val="21"/>
              <w:widowControl w:val="0"/>
              <w:spacing w:after="0" w:line="240" w:lineRule="atLeast"/>
              <w:rPr>
                <w:rFonts w:ascii="Verdana" w:hAnsi="Verdana" w:cs="Verdana"/>
                <w:sz w:val="18"/>
                <w:szCs w:val="18"/>
              </w:rPr>
            </w:pPr>
            <w:r>
              <w:rPr>
                <w:rFonts w:ascii="Verdana" w:hAnsi="Verdana" w:cs="Verdana"/>
                <w:sz w:val="18"/>
                <w:szCs w:val="18"/>
              </w:rPr>
              <w:lastRenderedPageBreak/>
              <w:t>Пункт 23.5. - Исключить</w:t>
            </w:r>
          </w:p>
        </w:tc>
      </w:tr>
      <w:tr w:rsidR="00F03970" w:rsidRPr="00CF3829">
        <w:tblPrEx>
          <w:tblCellMar>
            <w:top w:w="0" w:type="dxa"/>
            <w:bottom w:w="0" w:type="dxa"/>
          </w:tblCellMar>
        </w:tblPrEx>
        <w:tc>
          <w:tcPr>
            <w:tcW w:w="5211" w:type="dxa"/>
          </w:tcPr>
          <w:p w:rsidR="004137F2" w:rsidRPr="005D3D7F" w:rsidRDefault="004137F2" w:rsidP="004137F2">
            <w:pPr>
              <w:ind w:firstLine="426"/>
              <w:rPr>
                <w:rFonts w:ascii="Verdana" w:hAnsi="Verdana" w:cs="Verdana"/>
              </w:rPr>
            </w:pPr>
            <w:r w:rsidRPr="000A35E6">
              <w:rPr>
                <w:rFonts w:ascii="Verdana" w:hAnsi="Verdana" w:cs="Verdana"/>
              </w:rPr>
              <w:lastRenderedPageBreak/>
              <w:t>23.</w:t>
            </w:r>
            <w:r w:rsidRPr="001B249A">
              <w:rPr>
                <w:rFonts w:ascii="Verdana" w:hAnsi="Verdana" w:cs="Verdana"/>
              </w:rPr>
              <w:t>6</w:t>
            </w:r>
            <w:r w:rsidRPr="000A35E6">
              <w:rPr>
                <w:rFonts w:ascii="Verdana" w:hAnsi="Verdana" w:cs="Verdana"/>
              </w:rPr>
              <w:t xml:space="preserve">. </w:t>
            </w:r>
            <w:r w:rsidRPr="001A48F0">
              <w:rPr>
                <w:rFonts w:ascii="Verdana" w:hAnsi="Verdana" w:cs="Verdana"/>
              </w:rPr>
              <w:t>Государственные ценные бумаги субъектов Российской Федерации и муниципальные ценные бумаги могут входить в состав активов фондов только, если они допущены к торгам организатора торговли на рынке ценных бумаг.</w:t>
            </w:r>
          </w:p>
          <w:p w:rsidR="004137F2" w:rsidRPr="000A35E6" w:rsidRDefault="004137F2" w:rsidP="004137F2">
            <w:pPr>
              <w:ind w:firstLine="540"/>
              <w:rPr>
                <w:rFonts w:ascii="Verdana" w:hAnsi="Verdana" w:cs="Verdana"/>
              </w:rPr>
            </w:pPr>
            <w:r>
              <w:rPr>
                <w:rFonts w:ascii="Verdana" w:hAnsi="Verdana" w:cs="Verdana"/>
              </w:rPr>
              <w:t>Ц</w:t>
            </w:r>
            <w:r w:rsidRPr="000A35E6">
              <w:rPr>
                <w:rFonts w:ascii="Verdana" w:hAnsi="Verdana" w:cs="Verdana"/>
              </w:rPr>
              <w:t xml:space="preserve">енные бумаги иностранных государств и ценные бумаги международных финансовых организаций </w:t>
            </w:r>
            <w:r w:rsidRPr="001A48F0">
              <w:rPr>
                <w:rFonts w:ascii="Verdana" w:hAnsi="Verdana" w:cs="Verdana"/>
              </w:rPr>
              <w:t xml:space="preserve">могут входить в состав активов Фонда </w:t>
            </w:r>
            <w:r w:rsidRPr="000A35E6">
              <w:rPr>
                <w:rFonts w:ascii="Verdana" w:hAnsi="Verdana" w:cs="Verdana"/>
              </w:rPr>
              <w:t>при условии, что информация о заявках на покупку и/или продажу указанных ценных бумаг размещается информационными агентствами Блумберг (Bloomberg Generic Mid / Last) или Ройтерс (Reuters), либо такие ценные бумаги обращаются на организованном рынке ценных бумаг.</w:t>
            </w:r>
          </w:p>
          <w:p w:rsidR="00F03970" w:rsidRPr="00882FA5" w:rsidRDefault="00F03970" w:rsidP="00F03970">
            <w:pPr>
              <w:spacing w:line="240" w:lineRule="atLeast"/>
              <w:ind w:firstLine="709"/>
              <w:jc w:val="both"/>
              <w:rPr>
                <w:rFonts w:ascii="Verdana" w:hAnsi="Verdana" w:cs="Verdana"/>
                <w:b/>
                <w:bCs/>
                <w:sz w:val="18"/>
                <w:szCs w:val="18"/>
              </w:rPr>
            </w:pPr>
          </w:p>
        </w:tc>
        <w:tc>
          <w:tcPr>
            <w:tcW w:w="5211" w:type="dxa"/>
          </w:tcPr>
          <w:p w:rsidR="00F03970" w:rsidRPr="00882FA5" w:rsidRDefault="004137F2" w:rsidP="004137F2">
            <w:pPr>
              <w:spacing w:line="240" w:lineRule="atLeast"/>
              <w:ind w:firstLine="34"/>
              <w:jc w:val="both"/>
              <w:rPr>
                <w:rFonts w:ascii="Verdana" w:hAnsi="Verdana" w:cs="Verdana"/>
                <w:b/>
                <w:bCs/>
                <w:sz w:val="18"/>
                <w:szCs w:val="18"/>
              </w:rPr>
            </w:pPr>
            <w:r>
              <w:rPr>
                <w:rFonts w:ascii="Verdana" w:hAnsi="Verdana" w:cs="Verdana"/>
                <w:sz w:val="18"/>
                <w:szCs w:val="18"/>
              </w:rPr>
              <w:t>Пункт 23.6. - Исключить</w:t>
            </w:r>
          </w:p>
        </w:tc>
      </w:tr>
      <w:tr w:rsidR="006C229B" w:rsidRPr="00CF3829">
        <w:tblPrEx>
          <w:tblCellMar>
            <w:top w:w="0" w:type="dxa"/>
            <w:bottom w:w="0" w:type="dxa"/>
          </w:tblCellMar>
        </w:tblPrEx>
        <w:tc>
          <w:tcPr>
            <w:tcW w:w="5211" w:type="dxa"/>
          </w:tcPr>
          <w:p w:rsidR="00FE126C" w:rsidRPr="000A35E6" w:rsidRDefault="00FE126C" w:rsidP="00FE126C">
            <w:pPr>
              <w:ind w:firstLine="540"/>
              <w:rPr>
                <w:rFonts w:ascii="Verdana" w:hAnsi="Verdana" w:cs="Verdana"/>
              </w:rPr>
            </w:pPr>
            <w:r w:rsidRPr="000A35E6">
              <w:rPr>
                <w:rFonts w:ascii="Verdana" w:hAnsi="Verdana" w:cs="Verdana"/>
              </w:rPr>
              <w:t>23.</w:t>
            </w:r>
            <w:r w:rsidRPr="00AC3A1F">
              <w:rPr>
                <w:rFonts w:ascii="Verdana" w:hAnsi="Verdana" w:cs="Verdana"/>
              </w:rPr>
              <w:t>7</w:t>
            </w:r>
            <w:r>
              <w:rPr>
                <w:rFonts w:ascii="Verdana" w:hAnsi="Verdana" w:cs="Verdana"/>
              </w:rPr>
              <w:t xml:space="preserve">.В состав активов фонда </w:t>
            </w:r>
            <w:r w:rsidRPr="001A48F0">
              <w:rPr>
                <w:rFonts w:ascii="Verdana" w:hAnsi="Verdana" w:cs="Verdana"/>
              </w:rPr>
              <w:t>могут входить</w:t>
            </w:r>
            <w:r w:rsidRPr="000A35E6">
              <w:rPr>
                <w:rFonts w:ascii="Verdana" w:hAnsi="Verdana" w:cs="Verdana"/>
              </w:rPr>
              <w:t xml:space="preserve"> облигации иностр</w:t>
            </w:r>
            <w:r>
              <w:rPr>
                <w:rFonts w:ascii="Verdana" w:hAnsi="Verdana" w:cs="Verdana"/>
              </w:rPr>
              <w:t xml:space="preserve">анных коммерческих организаций, иностранные депозитарные расписки, </w:t>
            </w:r>
            <w:r w:rsidRPr="000A35E6">
              <w:rPr>
                <w:rFonts w:ascii="Verdana" w:hAnsi="Verdana" w:cs="Verdana"/>
              </w:rPr>
              <w:t>если указанные ценные бумаги прошли процедуру листинга на одной из следующих фондовых бирж:</w:t>
            </w:r>
          </w:p>
          <w:p w:rsidR="00FE126C" w:rsidRPr="000A35E6" w:rsidRDefault="00FE126C" w:rsidP="00FE126C">
            <w:pPr>
              <w:ind w:firstLine="540"/>
              <w:rPr>
                <w:rFonts w:ascii="Verdana" w:hAnsi="Verdana" w:cs="Verdana"/>
              </w:rPr>
            </w:pPr>
            <w:r w:rsidRPr="000A35E6">
              <w:rPr>
                <w:rFonts w:ascii="Verdana" w:hAnsi="Verdana" w:cs="Verdana"/>
              </w:rPr>
              <w:t>1) Американская фондовая биржа (American Stock Exchange);</w:t>
            </w:r>
          </w:p>
          <w:p w:rsidR="00FE126C" w:rsidRPr="000A35E6" w:rsidRDefault="00FE126C" w:rsidP="00FE126C">
            <w:pPr>
              <w:ind w:firstLine="540"/>
              <w:rPr>
                <w:rFonts w:ascii="Verdana" w:hAnsi="Verdana" w:cs="Verdana"/>
              </w:rPr>
            </w:pPr>
            <w:r w:rsidRPr="000A35E6">
              <w:rPr>
                <w:rFonts w:ascii="Verdana" w:hAnsi="Verdana" w:cs="Verdana"/>
              </w:rPr>
              <w:t>2) Гонконгская фондовая биржа (Hong Kong Stock Exchange);</w:t>
            </w:r>
          </w:p>
          <w:p w:rsidR="00FE126C" w:rsidRPr="000A35E6" w:rsidRDefault="00FE126C" w:rsidP="00FE126C">
            <w:pPr>
              <w:ind w:firstLine="540"/>
              <w:rPr>
                <w:rFonts w:ascii="Verdana" w:hAnsi="Verdana" w:cs="Verdana"/>
                <w:lang w:val="en-US"/>
              </w:rPr>
            </w:pPr>
            <w:r w:rsidRPr="000A35E6">
              <w:rPr>
                <w:rFonts w:ascii="Verdana" w:hAnsi="Verdana" w:cs="Verdana"/>
                <w:lang w:val="en-US"/>
              </w:rPr>
              <w:t xml:space="preserve">3) </w:t>
            </w:r>
            <w:r w:rsidRPr="000A35E6">
              <w:rPr>
                <w:rFonts w:ascii="Verdana" w:hAnsi="Verdana" w:cs="Verdana"/>
              </w:rPr>
              <w:t>Евронекст</w:t>
            </w:r>
            <w:r w:rsidRPr="000A35E6">
              <w:rPr>
                <w:rFonts w:ascii="Verdana" w:hAnsi="Verdana" w:cs="Verdana"/>
                <w:lang w:val="en-US"/>
              </w:rPr>
              <w:t xml:space="preserve"> (Euronext Amsterdam, Euronext Brussels, Euronext Lisbon, Euronext Paris);</w:t>
            </w:r>
          </w:p>
          <w:p w:rsidR="00FE126C" w:rsidRPr="000A35E6" w:rsidRDefault="00FE126C" w:rsidP="00FE126C">
            <w:pPr>
              <w:ind w:firstLine="540"/>
              <w:rPr>
                <w:rFonts w:ascii="Verdana" w:hAnsi="Verdana" w:cs="Verdana"/>
              </w:rPr>
            </w:pPr>
            <w:r w:rsidRPr="000A35E6">
              <w:rPr>
                <w:rFonts w:ascii="Verdana" w:hAnsi="Verdana" w:cs="Verdana"/>
              </w:rPr>
              <w:t>4) Закрытое акционерное общество "Фондовая биржа ММВБ";</w:t>
            </w:r>
          </w:p>
          <w:p w:rsidR="00FE126C" w:rsidRPr="000A35E6" w:rsidRDefault="00FE126C" w:rsidP="00FE126C">
            <w:pPr>
              <w:ind w:firstLine="540"/>
              <w:rPr>
                <w:rFonts w:ascii="Verdana" w:hAnsi="Verdana" w:cs="Verdana"/>
              </w:rPr>
            </w:pPr>
            <w:r w:rsidRPr="000A35E6">
              <w:rPr>
                <w:rFonts w:ascii="Verdana" w:hAnsi="Verdana" w:cs="Verdana"/>
              </w:rPr>
              <w:t>5) Ирландская фондовая биржа (Irish Stock Exchange);</w:t>
            </w:r>
          </w:p>
          <w:p w:rsidR="00FE126C" w:rsidRPr="000A35E6" w:rsidRDefault="00FE126C" w:rsidP="00FE126C">
            <w:pPr>
              <w:ind w:firstLine="540"/>
              <w:rPr>
                <w:rFonts w:ascii="Verdana" w:hAnsi="Verdana" w:cs="Verdana"/>
              </w:rPr>
            </w:pPr>
            <w:r w:rsidRPr="000A35E6">
              <w:rPr>
                <w:rFonts w:ascii="Verdana" w:hAnsi="Verdana" w:cs="Verdana"/>
              </w:rPr>
              <w:t>6) Испанская фондовая биржа (ВМЕ Spanish Exchanges);</w:t>
            </w:r>
          </w:p>
          <w:p w:rsidR="00FE126C" w:rsidRPr="000A35E6" w:rsidRDefault="00FE126C" w:rsidP="00FE126C">
            <w:pPr>
              <w:ind w:firstLine="540"/>
              <w:rPr>
                <w:rFonts w:ascii="Verdana" w:hAnsi="Verdana" w:cs="Verdana"/>
              </w:rPr>
            </w:pPr>
            <w:r w:rsidRPr="000A35E6">
              <w:rPr>
                <w:rFonts w:ascii="Verdana" w:hAnsi="Verdana" w:cs="Verdana"/>
              </w:rPr>
              <w:t>7) Итальянская фондовая биржа (Borsa Italiana);</w:t>
            </w:r>
          </w:p>
          <w:p w:rsidR="00FE126C" w:rsidRPr="000A35E6" w:rsidRDefault="00FE126C" w:rsidP="00FE126C">
            <w:pPr>
              <w:ind w:firstLine="540"/>
              <w:rPr>
                <w:rFonts w:ascii="Verdana" w:hAnsi="Verdana" w:cs="Verdana"/>
              </w:rPr>
            </w:pPr>
            <w:r w:rsidRPr="000A35E6">
              <w:rPr>
                <w:rFonts w:ascii="Verdana" w:hAnsi="Verdana" w:cs="Verdana"/>
              </w:rPr>
              <w:t>8) Корейская биржа (Korea Exchange);</w:t>
            </w:r>
          </w:p>
          <w:p w:rsidR="00FE126C" w:rsidRPr="000A35E6" w:rsidRDefault="00FE126C" w:rsidP="00FE126C">
            <w:pPr>
              <w:ind w:firstLine="540"/>
              <w:rPr>
                <w:rFonts w:ascii="Verdana" w:hAnsi="Verdana" w:cs="Verdana"/>
              </w:rPr>
            </w:pPr>
            <w:r w:rsidRPr="000A35E6">
              <w:rPr>
                <w:rFonts w:ascii="Verdana" w:hAnsi="Verdana" w:cs="Verdana"/>
              </w:rPr>
              <w:t>9) Лондонская фондовая биржа (London Stock Exchange);</w:t>
            </w:r>
          </w:p>
          <w:p w:rsidR="00FE126C" w:rsidRPr="000A35E6" w:rsidRDefault="00FE126C" w:rsidP="00FE126C">
            <w:pPr>
              <w:ind w:firstLine="540"/>
              <w:rPr>
                <w:rFonts w:ascii="Verdana" w:hAnsi="Verdana" w:cs="Verdana"/>
              </w:rPr>
            </w:pPr>
            <w:r w:rsidRPr="000A35E6">
              <w:rPr>
                <w:rFonts w:ascii="Verdana" w:hAnsi="Verdana" w:cs="Verdana"/>
              </w:rPr>
              <w:t>10) Люксембургская фондовая биржа (Luxembourg Stock Exchange);</w:t>
            </w:r>
          </w:p>
          <w:p w:rsidR="00FE126C" w:rsidRPr="000A35E6" w:rsidRDefault="00FE126C" w:rsidP="00FE126C">
            <w:pPr>
              <w:ind w:firstLine="540"/>
              <w:rPr>
                <w:rFonts w:ascii="Verdana" w:hAnsi="Verdana" w:cs="Verdana"/>
              </w:rPr>
            </w:pPr>
            <w:r w:rsidRPr="000A35E6">
              <w:rPr>
                <w:rFonts w:ascii="Verdana" w:hAnsi="Verdana" w:cs="Verdana"/>
              </w:rPr>
              <w:t>11) Насдак (Nasdaq);</w:t>
            </w:r>
          </w:p>
          <w:p w:rsidR="00FE126C" w:rsidRPr="000A35E6" w:rsidRDefault="00FE126C" w:rsidP="00FE126C">
            <w:pPr>
              <w:ind w:firstLine="540"/>
              <w:rPr>
                <w:rFonts w:ascii="Verdana" w:hAnsi="Verdana" w:cs="Verdana"/>
              </w:rPr>
            </w:pPr>
            <w:r w:rsidRPr="000A35E6">
              <w:rPr>
                <w:rFonts w:ascii="Verdana" w:hAnsi="Verdana" w:cs="Verdana"/>
              </w:rPr>
              <w:t>12) Немецкая фондовая биржа (Deutsche Borse);</w:t>
            </w:r>
          </w:p>
          <w:p w:rsidR="00FE126C" w:rsidRPr="000A35E6" w:rsidRDefault="00FE126C" w:rsidP="00FE126C">
            <w:pPr>
              <w:ind w:firstLine="540"/>
              <w:rPr>
                <w:rFonts w:ascii="Verdana" w:hAnsi="Verdana" w:cs="Verdana"/>
                <w:lang w:val="en-US"/>
              </w:rPr>
            </w:pPr>
            <w:r w:rsidRPr="000A35E6">
              <w:rPr>
                <w:rFonts w:ascii="Verdana" w:hAnsi="Verdana" w:cs="Verdana"/>
                <w:lang w:val="en-US"/>
              </w:rPr>
              <w:t xml:space="preserve">13) </w:t>
            </w:r>
            <w:r w:rsidRPr="000A35E6">
              <w:rPr>
                <w:rFonts w:ascii="Verdana" w:hAnsi="Verdana" w:cs="Verdana"/>
              </w:rPr>
              <w:t>Нью</w:t>
            </w:r>
            <w:r w:rsidRPr="000A35E6">
              <w:rPr>
                <w:rFonts w:ascii="Verdana" w:hAnsi="Verdana" w:cs="Verdana"/>
                <w:lang w:val="en-US"/>
              </w:rPr>
              <w:t>-</w:t>
            </w:r>
            <w:r w:rsidRPr="000A35E6">
              <w:rPr>
                <w:rFonts w:ascii="Verdana" w:hAnsi="Verdana" w:cs="Verdana"/>
              </w:rPr>
              <w:t>Йоркская</w:t>
            </w:r>
            <w:r w:rsidRPr="000A35E6">
              <w:rPr>
                <w:rFonts w:ascii="Verdana" w:hAnsi="Verdana" w:cs="Verdana"/>
                <w:lang w:val="en-US"/>
              </w:rPr>
              <w:t xml:space="preserve"> </w:t>
            </w:r>
            <w:r w:rsidRPr="000A35E6">
              <w:rPr>
                <w:rFonts w:ascii="Verdana" w:hAnsi="Verdana" w:cs="Verdana"/>
              </w:rPr>
              <w:t>фондовая</w:t>
            </w:r>
            <w:r w:rsidRPr="000A35E6">
              <w:rPr>
                <w:rFonts w:ascii="Verdana" w:hAnsi="Verdana" w:cs="Verdana"/>
                <w:lang w:val="en-US"/>
              </w:rPr>
              <w:t xml:space="preserve"> </w:t>
            </w:r>
            <w:r w:rsidRPr="000A35E6">
              <w:rPr>
                <w:rFonts w:ascii="Verdana" w:hAnsi="Verdana" w:cs="Verdana"/>
              </w:rPr>
              <w:t>биржа</w:t>
            </w:r>
            <w:r w:rsidRPr="000A35E6">
              <w:rPr>
                <w:rFonts w:ascii="Verdana" w:hAnsi="Verdana" w:cs="Verdana"/>
                <w:lang w:val="en-US"/>
              </w:rPr>
              <w:t xml:space="preserve"> (New York Stock Exchange);</w:t>
            </w:r>
          </w:p>
          <w:p w:rsidR="00FE126C" w:rsidRPr="000A35E6" w:rsidRDefault="00FE126C" w:rsidP="00FE126C">
            <w:pPr>
              <w:ind w:firstLine="540"/>
              <w:rPr>
                <w:rFonts w:ascii="Verdana" w:hAnsi="Verdana" w:cs="Verdana"/>
              </w:rPr>
            </w:pPr>
            <w:r w:rsidRPr="000A35E6">
              <w:rPr>
                <w:rFonts w:ascii="Verdana" w:hAnsi="Verdana" w:cs="Verdana"/>
              </w:rPr>
              <w:t>14) Открытое акционерное общество "Фондовая биржа "Российская Торговая Система";</w:t>
            </w:r>
          </w:p>
          <w:p w:rsidR="00FE126C" w:rsidRPr="000A35E6" w:rsidRDefault="00FE126C" w:rsidP="00FE126C">
            <w:pPr>
              <w:ind w:firstLine="540"/>
              <w:rPr>
                <w:rFonts w:ascii="Verdana" w:hAnsi="Verdana" w:cs="Verdana"/>
              </w:rPr>
            </w:pPr>
            <w:r w:rsidRPr="000A35E6">
              <w:rPr>
                <w:rFonts w:ascii="Verdana" w:hAnsi="Verdana" w:cs="Verdana"/>
              </w:rPr>
              <w:t>15) Токийская фондовая биржа (Tokyo Stock Exchange Group);</w:t>
            </w:r>
          </w:p>
          <w:p w:rsidR="00FE126C" w:rsidRPr="000A35E6" w:rsidRDefault="00FE126C" w:rsidP="00FE126C">
            <w:pPr>
              <w:ind w:firstLine="540"/>
              <w:rPr>
                <w:rFonts w:ascii="Verdana" w:hAnsi="Verdana" w:cs="Verdana"/>
                <w:lang w:val="en-US"/>
              </w:rPr>
            </w:pPr>
            <w:r w:rsidRPr="000A35E6">
              <w:rPr>
                <w:rFonts w:ascii="Verdana" w:hAnsi="Verdana" w:cs="Verdana"/>
                <w:lang w:val="en-US"/>
              </w:rPr>
              <w:t xml:space="preserve">16) </w:t>
            </w:r>
            <w:r w:rsidRPr="000A35E6">
              <w:rPr>
                <w:rFonts w:ascii="Verdana" w:hAnsi="Verdana" w:cs="Verdana"/>
              </w:rPr>
              <w:t>Фондовая</w:t>
            </w:r>
            <w:r w:rsidRPr="000A35E6">
              <w:rPr>
                <w:rFonts w:ascii="Verdana" w:hAnsi="Verdana" w:cs="Verdana"/>
                <w:lang w:val="en-US"/>
              </w:rPr>
              <w:t xml:space="preserve"> </w:t>
            </w:r>
            <w:r w:rsidRPr="000A35E6">
              <w:rPr>
                <w:rFonts w:ascii="Verdana" w:hAnsi="Verdana" w:cs="Verdana"/>
              </w:rPr>
              <w:t>биржа</w:t>
            </w:r>
            <w:r w:rsidRPr="000A35E6">
              <w:rPr>
                <w:rFonts w:ascii="Verdana" w:hAnsi="Verdana" w:cs="Verdana"/>
                <w:lang w:val="en-US"/>
              </w:rPr>
              <w:t xml:space="preserve"> </w:t>
            </w:r>
            <w:r w:rsidRPr="000A35E6">
              <w:rPr>
                <w:rFonts w:ascii="Verdana" w:hAnsi="Verdana" w:cs="Verdana"/>
              </w:rPr>
              <w:t>Торонто</w:t>
            </w:r>
            <w:r w:rsidRPr="000A35E6">
              <w:rPr>
                <w:rFonts w:ascii="Verdana" w:hAnsi="Verdana" w:cs="Verdana"/>
                <w:lang w:val="en-US"/>
              </w:rPr>
              <w:t xml:space="preserve"> (Toronto Stock Exchange, TSX Group);</w:t>
            </w:r>
          </w:p>
          <w:p w:rsidR="00FE126C" w:rsidRPr="000A35E6" w:rsidRDefault="00FE126C" w:rsidP="00FE126C">
            <w:pPr>
              <w:ind w:firstLine="540"/>
              <w:rPr>
                <w:rFonts w:ascii="Verdana" w:hAnsi="Verdana" w:cs="Verdana"/>
              </w:rPr>
            </w:pPr>
            <w:r w:rsidRPr="000A35E6">
              <w:rPr>
                <w:rFonts w:ascii="Verdana" w:hAnsi="Verdana" w:cs="Verdana"/>
              </w:rPr>
              <w:t>17) Фондовая биржа Швейцарии (Swiss Exchange);</w:t>
            </w:r>
          </w:p>
          <w:p w:rsidR="00FE126C" w:rsidRPr="00AC3A1F" w:rsidRDefault="00FE126C" w:rsidP="00FE126C">
            <w:pPr>
              <w:ind w:firstLine="540"/>
              <w:rPr>
                <w:rFonts w:ascii="Verdana" w:hAnsi="Verdana" w:cs="Verdana"/>
              </w:rPr>
            </w:pPr>
            <w:r w:rsidRPr="000A35E6">
              <w:rPr>
                <w:rFonts w:ascii="Verdana" w:hAnsi="Verdana" w:cs="Verdana"/>
              </w:rPr>
              <w:lastRenderedPageBreak/>
              <w:t>18) Шанхайская фондовая биржа (Shanghai Stock Exchange).</w:t>
            </w:r>
          </w:p>
          <w:p w:rsidR="00FE126C" w:rsidRPr="00AC3A1F" w:rsidRDefault="00FE126C" w:rsidP="00FE126C">
            <w:pPr>
              <w:ind w:firstLine="540"/>
              <w:rPr>
                <w:rFonts w:ascii="Verdana" w:hAnsi="Verdana" w:cs="Verdana"/>
              </w:rPr>
            </w:pPr>
            <w:r w:rsidRPr="00AC3A1F">
              <w:rPr>
                <w:rFonts w:ascii="Verdana" w:hAnsi="Verdana" w:cs="Verdana"/>
              </w:rPr>
              <w:t>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размещения.</w:t>
            </w:r>
          </w:p>
          <w:p w:rsidR="006C229B" w:rsidRPr="00CF3829" w:rsidRDefault="006C229B" w:rsidP="00303673">
            <w:pPr>
              <w:spacing w:line="240" w:lineRule="atLeast"/>
              <w:rPr>
                <w:rFonts w:ascii="Verdana" w:hAnsi="Verdana" w:cs="Verdana"/>
                <w:b/>
                <w:bCs/>
                <w:sz w:val="18"/>
                <w:szCs w:val="18"/>
              </w:rPr>
            </w:pPr>
          </w:p>
        </w:tc>
        <w:tc>
          <w:tcPr>
            <w:tcW w:w="5211" w:type="dxa"/>
          </w:tcPr>
          <w:p w:rsidR="00AC7E0C" w:rsidRPr="00CF3829" w:rsidRDefault="00FE126C" w:rsidP="00FE126C">
            <w:pPr>
              <w:jc w:val="both"/>
              <w:rPr>
                <w:rFonts w:ascii="Verdana" w:hAnsi="Verdana" w:cs="Verdana"/>
                <w:sz w:val="18"/>
                <w:szCs w:val="18"/>
              </w:rPr>
            </w:pPr>
            <w:r>
              <w:rPr>
                <w:rFonts w:ascii="Verdana" w:hAnsi="Verdana" w:cs="Verdana"/>
                <w:sz w:val="18"/>
                <w:szCs w:val="18"/>
              </w:rPr>
              <w:lastRenderedPageBreak/>
              <w:t>Пункт 23.7. - Исключить</w:t>
            </w:r>
          </w:p>
        </w:tc>
      </w:tr>
      <w:tr w:rsidR="006C229B" w:rsidRPr="00CF3829">
        <w:tblPrEx>
          <w:tblCellMar>
            <w:top w:w="0" w:type="dxa"/>
            <w:bottom w:w="0" w:type="dxa"/>
          </w:tblCellMar>
        </w:tblPrEx>
        <w:tc>
          <w:tcPr>
            <w:tcW w:w="5211" w:type="dxa"/>
          </w:tcPr>
          <w:p w:rsidR="009A2B34" w:rsidRPr="00100E15" w:rsidRDefault="009A2B34" w:rsidP="009A2B34">
            <w:pPr>
              <w:ind w:firstLine="426"/>
              <w:rPr>
                <w:rFonts w:ascii="Verdana" w:hAnsi="Verdana" w:cs="Verdana"/>
              </w:rPr>
            </w:pPr>
            <w:r w:rsidRPr="000A35E6">
              <w:rPr>
                <w:rFonts w:ascii="Verdana" w:hAnsi="Verdana" w:cs="Verdana"/>
              </w:rPr>
              <w:lastRenderedPageBreak/>
              <w:t>24. Структура активов фонда</w:t>
            </w:r>
            <w:r w:rsidRPr="00100E15">
              <w:rPr>
                <w:rFonts w:ascii="Verdana" w:hAnsi="Verdana" w:cs="Verdana"/>
              </w:rPr>
              <w:t xml:space="preserve"> </w:t>
            </w:r>
            <w:r>
              <w:rPr>
                <w:rFonts w:ascii="Verdana" w:hAnsi="Verdana" w:cs="Verdana"/>
              </w:rPr>
              <w:t>должна соответствовать одновременно следующим требованиям:</w:t>
            </w:r>
            <w:r w:rsidRPr="000A35E6">
              <w:rPr>
                <w:rFonts w:ascii="Verdana" w:hAnsi="Verdana" w:cs="Verdana"/>
              </w:rPr>
              <w:t xml:space="preserve"> </w:t>
            </w:r>
          </w:p>
          <w:p w:rsidR="009A2B34" w:rsidRPr="000A35E6" w:rsidRDefault="009A2B34" w:rsidP="009A2B34">
            <w:pPr>
              <w:ind w:firstLine="540"/>
              <w:rPr>
                <w:rFonts w:ascii="Verdana" w:hAnsi="Verdana" w:cs="Verdana"/>
                <w:color w:val="000000"/>
              </w:rPr>
            </w:pPr>
            <w:r w:rsidRPr="000A35E6">
              <w:rPr>
                <w:rFonts w:ascii="Verdana" w:hAnsi="Verdana" w:cs="Verdana"/>
                <w:color w:val="000000"/>
              </w:rPr>
              <w:t>1) денежные средства, находящиеся во вкладах в одной кредитной организации, могут составлять не более 25 процентов стоимости активов;</w:t>
            </w:r>
          </w:p>
          <w:p w:rsidR="009A2B34" w:rsidRPr="000A35E6" w:rsidRDefault="009A2B34" w:rsidP="009A2B34">
            <w:pPr>
              <w:ind w:firstLine="540"/>
              <w:rPr>
                <w:rFonts w:ascii="Verdana" w:hAnsi="Verdana" w:cs="Verdana"/>
              </w:rPr>
            </w:pPr>
            <w:r w:rsidRPr="000A35E6">
              <w:rPr>
                <w:rFonts w:ascii="Verdana" w:hAnsi="Verdana" w:cs="Verdana"/>
                <w:color w:val="000000"/>
              </w:rPr>
              <w:t xml:space="preserve">2) </w:t>
            </w:r>
            <w:r w:rsidRPr="000A35E6">
              <w:rPr>
                <w:rFonts w:ascii="Verdana" w:hAnsi="Verdana" w:cs="Verdana"/>
              </w:rPr>
              <w:t>оценочная стоимость ценных бумаг одного эмитента,</w:t>
            </w:r>
            <w:r w:rsidRPr="000A35E6">
              <w:rPr>
                <w:rFonts w:ascii="Verdana" w:hAnsi="Verdana" w:cs="Verdana"/>
                <w:color w:val="000000"/>
              </w:rPr>
              <w:t xml:space="preserve"> инвестиционного фонда или ипотечного покрытия</w:t>
            </w:r>
            <w:r w:rsidRPr="000A35E6">
              <w:rPr>
                <w:rFonts w:ascii="Verdana" w:hAnsi="Verdana" w:cs="Verdana"/>
              </w:rPr>
              <w:t xml:space="preserve">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 может составлять не более 15 процентов стоимости активов фонда;</w:t>
            </w:r>
          </w:p>
          <w:p w:rsidR="009A2B34" w:rsidRPr="000A35E6" w:rsidRDefault="009A2B34" w:rsidP="009A2B34">
            <w:pPr>
              <w:ind w:firstLine="540"/>
              <w:rPr>
                <w:rFonts w:ascii="Verdana" w:hAnsi="Verdana" w:cs="Verdana"/>
                <w:color w:val="000000"/>
              </w:rPr>
            </w:pPr>
            <w:r w:rsidRPr="000A35E6">
              <w:rPr>
                <w:rFonts w:ascii="Verdana" w:hAnsi="Verdana" w:cs="Verdana"/>
                <w:color w:val="000000"/>
              </w:rPr>
              <w:t xml:space="preserve">3) не менее двух третей рабочих дней в течение одного календарного квартала оценочная стоимость инвестиционных паев паевых инвестиционных фондов, акций акционерных инвестиционных фондов и </w:t>
            </w:r>
            <w:r>
              <w:rPr>
                <w:rFonts w:ascii="Verdana" w:hAnsi="Verdana" w:cs="Verdana"/>
                <w:color w:val="000000"/>
              </w:rPr>
              <w:t>ипотечных сертификатов участия</w:t>
            </w:r>
            <w:r w:rsidRPr="000A35E6">
              <w:rPr>
                <w:rFonts w:ascii="Verdana" w:hAnsi="Verdana" w:cs="Verdana"/>
                <w:color w:val="000000"/>
              </w:rPr>
              <w:t xml:space="preserve"> должна составлять не менее 50 процентов стоимости активов;</w:t>
            </w:r>
          </w:p>
          <w:p w:rsidR="009A2B34" w:rsidRPr="000A35E6" w:rsidRDefault="009A2B34" w:rsidP="009A2B34">
            <w:pPr>
              <w:ind w:firstLine="539"/>
              <w:rPr>
                <w:rFonts w:ascii="Verdana" w:hAnsi="Verdana" w:cs="Verdana"/>
                <w:color w:val="000000"/>
              </w:rPr>
            </w:pPr>
            <w:r w:rsidRPr="000A35E6">
              <w:rPr>
                <w:rFonts w:ascii="Verdana" w:hAnsi="Verdana" w:cs="Verdana"/>
                <w:color w:val="000000"/>
              </w:rPr>
              <w:t>4) оценочная стоимость инвестиционных паев паевых инвестиционных фондов, ипотечных сертификатов участия, акций акц</w:t>
            </w:r>
            <w:r>
              <w:rPr>
                <w:rFonts w:ascii="Verdana" w:hAnsi="Verdana" w:cs="Verdana"/>
                <w:color w:val="000000"/>
              </w:rPr>
              <w:t>ионерных инвестиционных фондов,</w:t>
            </w:r>
            <w:r w:rsidRPr="000A35E6">
              <w:rPr>
                <w:rFonts w:ascii="Verdana" w:hAnsi="Verdana" w:cs="Verdana"/>
                <w:color w:val="000000"/>
              </w:rPr>
              <w:t xml:space="preserve"> которые (активы которых), находятся в управлении (доверительном управлении) одной управляющей компании (управляющего), может составлять не более 35 процентов стоимости активов;</w:t>
            </w:r>
          </w:p>
          <w:p w:rsidR="009A2B34" w:rsidRPr="000A35E6" w:rsidRDefault="009A2B34" w:rsidP="009A2B34">
            <w:pPr>
              <w:ind w:firstLine="539"/>
              <w:rPr>
                <w:rFonts w:ascii="Verdana" w:hAnsi="Verdana" w:cs="Verdana"/>
                <w:color w:val="000000"/>
              </w:rPr>
            </w:pPr>
            <w:r w:rsidRPr="000A35E6">
              <w:rPr>
                <w:rFonts w:ascii="Verdana" w:hAnsi="Verdana" w:cs="Verdana"/>
                <w:color w:val="000000"/>
              </w:rPr>
              <w:t>5) оценочная стоимость неликвидных ценных бумаг может составлять не более 10 процентов стоимости активов  фонда;</w:t>
            </w:r>
          </w:p>
          <w:p w:rsidR="009A2B34" w:rsidRPr="000A35E6" w:rsidRDefault="009A2B34" w:rsidP="009A2B34">
            <w:pPr>
              <w:ind w:firstLine="539"/>
              <w:rPr>
                <w:rFonts w:ascii="Verdana" w:hAnsi="Verdana" w:cs="Verdana"/>
                <w:color w:val="000000"/>
              </w:rPr>
            </w:pPr>
            <w:r w:rsidRPr="000A35E6">
              <w:rPr>
                <w:rFonts w:ascii="Verdana" w:hAnsi="Verdana" w:cs="Verdana"/>
                <w:color w:val="000000"/>
              </w:rPr>
              <w:t>6) оценочная стоимость ценных бумаг, которые в соответствии с законодательством Российской Федерации предназначены для квалифицированных инвесторов или личным законом иностранного эмитента не предусмотрены для публичного обращения, может составлять не более 5 процентов стоимости активов фонда;</w:t>
            </w:r>
          </w:p>
          <w:p w:rsidR="009A2B34" w:rsidRPr="000A35E6" w:rsidRDefault="009A2B34" w:rsidP="009A2B34">
            <w:pPr>
              <w:ind w:firstLine="540"/>
              <w:rPr>
                <w:rFonts w:ascii="Verdana" w:hAnsi="Verdana" w:cs="Verdana"/>
                <w:color w:val="000000"/>
              </w:rPr>
            </w:pPr>
            <w:r w:rsidRPr="000A35E6">
              <w:rPr>
                <w:rFonts w:ascii="Verdana" w:hAnsi="Verdana" w:cs="Verdana"/>
                <w:color w:val="000000"/>
              </w:rPr>
              <w:t xml:space="preserve">7) количество инвестиционных паев паевого инвестиционного фонда, ипотечных сертификатов участия или акций </w:t>
            </w:r>
            <w:r w:rsidRPr="000A35E6">
              <w:rPr>
                <w:rFonts w:ascii="Verdana" w:hAnsi="Verdana" w:cs="Verdana"/>
                <w:color w:val="000000"/>
              </w:rPr>
              <w:lastRenderedPageBreak/>
              <w:t>акци</w:t>
            </w:r>
            <w:r>
              <w:rPr>
                <w:rFonts w:ascii="Verdana" w:hAnsi="Verdana" w:cs="Verdana"/>
                <w:color w:val="000000"/>
              </w:rPr>
              <w:t>онерного инвестиционного фонда</w:t>
            </w:r>
            <w:r w:rsidRPr="000A35E6">
              <w:rPr>
                <w:rFonts w:ascii="Verdana" w:hAnsi="Verdana" w:cs="Verdana"/>
                <w:color w:val="000000"/>
              </w:rPr>
              <w:t xml:space="preserve"> может составлять не более 30 процентов количества выданных (выпущенных) инвестиционных паев (акций) каждого из этих фондов (ипотечных покрытий);</w:t>
            </w:r>
          </w:p>
          <w:p w:rsidR="009A2B34" w:rsidRPr="001B249A" w:rsidRDefault="009A2B34" w:rsidP="009A2B34">
            <w:pPr>
              <w:ind w:firstLine="540"/>
              <w:rPr>
                <w:rFonts w:ascii="Verdana" w:hAnsi="Verdana" w:cs="Verdana"/>
                <w:color w:val="000000"/>
              </w:rPr>
            </w:pPr>
            <w:r w:rsidRPr="000A35E6">
              <w:rPr>
                <w:rFonts w:ascii="Verdana" w:hAnsi="Verdana" w:cs="Verdana"/>
                <w:color w:val="000000"/>
              </w:rPr>
              <w:t>8)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9A2B34" w:rsidRPr="00821FDE" w:rsidRDefault="009A2B34" w:rsidP="009A2B34">
            <w:pPr>
              <w:ind w:firstLine="426"/>
              <w:rPr>
                <w:rFonts w:ascii="Verdana" w:hAnsi="Verdana" w:cs="Verdana"/>
              </w:rPr>
            </w:pPr>
            <w:r w:rsidRPr="00D556E2">
              <w:rPr>
                <w:rFonts w:ascii="Verdana" w:hAnsi="Verdana" w:cs="Verdana"/>
              </w:rPr>
              <w:t>Требования настоящего пункта применяются до даты возникновения основания прекращения Фонда.</w:t>
            </w:r>
          </w:p>
          <w:p w:rsidR="006C229B" w:rsidRPr="00CF3829" w:rsidRDefault="006C229B" w:rsidP="009A2B34">
            <w:pPr>
              <w:rPr>
                <w:rFonts w:ascii="Verdana" w:hAnsi="Verdana" w:cs="Verdana"/>
                <w:sz w:val="18"/>
                <w:szCs w:val="18"/>
              </w:rPr>
            </w:pPr>
          </w:p>
        </w:tc>
        <w:tc>
          <w:tcPr>
            <w:tcW w:w="5211" w:type="dxa"/>
          </w:tcPr>
          <w:p w:rsidR="009A2B34" w:rsidRPr="0029748E" w:rsidRDefault="009A2B34" w:rsidP="009A2B34">
            <w:pPr>
              <w:ind w:firstLine="540"/>
              <w:rPr>
                <w:rFonts w:ascii="Verdana" w:hAnsi="Verdana" w:cs="Verdana"/>
              </w:rPr>
            </w:pPr>
            <w:r w:rsidRPr="0029748E">
              <w:rPr>
                <w:rFonts w:ascii="Verdana" w:hAnsi="Verdana" w:cs="Verdana"/>
              </w:rPr>
              <w:lastRenderedPageBreak/>
              <w:t>24. Структура активов фонда должна одновременно соответствовать следующим требованиям:</w:t>
            </w:r>
          </w:p>
          <w:p w:rsidR="009A2B34" w:rsidRPr="0029748E" w:rsidRDefault="009A2B34" w:rsidP="009A2B34">
            <w:pPr>
              <w:ind w:firstLine="540"/>
              <w:rPr>
                <w:rFonts w:ascii="Verdana" w:hAnsi="Verdana"/>
              </w:rPr>
            </w:pPr>
            <w:r w:rsidRPr="0029748E">
              <w:rPr>
                <w:rFonts w:ascii="Verdana" w:hAnsi="Verdana"/>
              </w:rPr>
              <w:t>1) денежные средства, находящиеся во вкладах в одной кредитной организации, могут составлять не более 25 процентов стоимости активов;</w:t>
            </w:r>
          </w:p>
          <w:p w:rsidR="009A2B34" w:rsidRPr="0029748E" w:rsidRDefault="009A2B34" w:rsidP="009A2B34">
            <w:pPr>
              <w:ind w:firstLine="540"/>
              <w:rPr>
                <w:rFonts w:ascii="Verdana" w:hAnsi="Verdana"/>
              </w:rPr>
            </w:pPr>
            <w:r w:rsidRPr="0029748E">
              <w:rPr>
                <w:rFonts w:ascii="Verdana" w:hAnsi="Verdana" w:cs="Verdana"/>
              </w:rPr>
              <w:t>2</w:t>
            </w:r>
            <w:r w:rsidRPr="0029748E">
              <w:rPr>
                <w:rFonts w:ascii="Verdana" w:hAnsi="Verdana"/>
              </w:rPr>
              <w:t xml:space="preserve">) не менее двух третей рабочих дней в течение одного календарного квартала оценочная стоимость </w:t>
            </w:r>
            <w:r w:rsidRPr="0029748E">
              <w:rPr>
                <w:rFonts w:ascii="Verdana" w:hAnsi="Verdana" w:cs="Verdana"/>
              </w:rPr>
              <w:t>паев (</w:t>
            </w:r>
            <w:r w:rsidRPr="0029748E">
              <w:rPr>
                <w:rFonts w:ascii="Verdana" w:hAnsi="Verdana"/>
              </w:rPr>
              <w:t>акций</w:t>
            </w:r>
            <w:r w:rsidRPr="0029748E">
              <w:rPr>
                <w:rFonts w:ascii="Verdana" w:hAnsi="Verdana" w:cs="Verdana"/>
              </w:rPr>
              <w:t xml:space="preserve">) иностранного инвестиционного фонда </w:t>
            </w:r>
            <w:r w:rsidRPr="0029748E">
              <w:rPr>
                <w:rFonts w:ascii="Verdana" w:hAnsi="Verdana"/>
              </w:rPr>
              <w:t>должна составлять не менее 50 процентов стоимости активов;</w:t>
            </w:r>
          </w:p>
          <w:p w:rsidR="009A2B34" w:rsidRPr="0029748E" w:rsidRDefault="009A2B34" w:rsidP="009A2B34">
            <w:pPr>
              <w:ind w:firstLine="540"/>
              <w:rPr>
                <w:rFonts w:ascii="Verdana" w:hAnsi="Verdana"/>
              </w:rPr>
            </w:pPr>
            <w:r w:rsidRPr="0029748E">
              <w:rPr>
                <w:rFonts w:ascii="Verdana" w:hAnsi="Verdana" w:cs="Verdana"/>
              </w:rPr>
              <w:t>3</w:t>
            </w:r>
            <w:r w:rsidRPr="0029748E">
              <w:rPr>
                <w:rFonts w:ascii="Verdana" w:hAnsi="Verdana"/>
              </w:rPr>
              <w:t>) оценочная стоимость неликвидных ценных бумаг может составлять не более</w:t>
            </w:r>
            <w:r>
              <w:rPr>
                <w:rFonts w:ascii="Verdana" w:hAnsi="Verdana"/>
              </w:rPr>
              <w:t xml:space="preserve"> 10 процентов стоимости активов</w:t>
            </w:r>
            <w:r w:rsidRPr="0029748E">
              <w:rPr>
                <w:rFonts w:ascii="Verdana" w:hAnsi="Verdana"/>
              </w:rPr>
              <w:t xml:space="preserve"> </w:t>
            </w:r>
            <w:r w:rsidRPr="0029748E">
              <w:rPr>
                <w:rFonts w:ascii="Verdana" w:hAnsi="Verdana" w:cs="Verdana"/>
              </w:rPr>
              <w:t>паевого инвестиционного</w:t>
            </w:r>
            <w:r w:rsidRPr="0029748E">
              <w:rPr>
                <w:rFonts w:ascii="Verdana" w:hAnsi="Verdana"/>
              </w:rPr>
              <w:t xml:space="preserve"> фонда</w:t>
            </w:r>
            <w:r w:rsidRPr="0029748E">
              <w:rPr>
                <w:rFonts w:ascii="Verdana" w:hAnsi="Verdana" w:cs="Verdana"/>
              </w:rPr>
              <w:t>.</w:t>
            </w:r>
          </w:p>
          <w:p w:rsidR="009A2B34" w:rsidRPr="002F4209" w:rsidRDefault="009A2B34" w:rsidP="009A2B34">
            <w:pPr>
              <w:ind w:firstLine="540"/>
              <w:rPr>
                <w:rFonts w:ascii="Verdana" w:hAnsi="Verdana" w:cs="Verdana"/>
              </w:rPr>
            </w:pPr>
            <w:r w:rsidRPr="0029748E">
              <w:rPr>
                <w:rFonts w:ascii="Verdana" w:hAnsi="Verdana" w:cs="Verdana"/>
              </w:rPr>
              <w:t>Требования настоящего пункта применяются до даты возникновения основания прекращения Фонда.</w:t>
            </w:r>
          </w:p>
          <w:p w:rsidR="006C229B" w:rsidRPr="00CF3829" w:rsidRDefault="006C229B" w:rsidP="005D3F5A">
            <w:pPr>
              <w:spacing w:line="240" w:lineRule="atLeast"/>
              <w:rPr>
                <w:rFonts w:ascii="Verdana" w:hAnsi="Verdana" w:cs="Verdana"/>
                <w:b/>
                <w:bCs/>
                <w:sz w:val="18"/>
                <w:szCs w:val="18"/>
              </w:rPr>
            </w:pPr>
          </w:p>
        </w:tc>
      </w:tr>
      <w:tr w:rsidR="009A2B34" w:rsidRPr="00CF3829">
        <w:tblPrEx>
          <w:tblCellMar>
            <w:top w:w="0" w:type="dxa"/>
            <w:bottom w:w="0" w:type="dxa"/>
          </w:tblCellMar>
        </w:tblPrEx>
        <w:tc>
          <w:tcPr>
            <w:tcW w:w="5211" w:type="dxa"/>
          </w:tcPr>
          <w:p w:rsidR="00DC24E2" w:rsidRPr="00061EFC" w:rsidRDefault="00DC24E2" w:rsidP="00DC24E2">
            <w:pPr>
              <w:ind w:firstLine="426"/>
              <w:rPr>
                <w:rFonts w:ascii="Verdana" w:hAnsi="Verdana" w:cs="Verdana"/>
              </w:rPr>
            </w:pPr>
            <w:r w:rsidRPr="00061EFC">
              <w:rPr>
                <w:rFonts w:ascii="Verdana" w:hAnsi="Verdana" w:cs="Verdana"/>
              </w:rPr>
              <w:lastRenderedPageBreak/>
              <w:t>30. Ограничения на совершение сделок с ценными бумагами, установленные абзацами восьмым, девятым, одиннадцатым и двенадцатым подпункта 5 пункта 29 настоящих Правил, не применяются, если:</w:t>
            </w:r>
          </w:p>
          <w:p w:rsidR="00DC24E2" w:rsidRPr="00061EFC" w:rsidRDefault="00DC24E2" w:rsidP="00DC24E2">
            <w:pPr>
              <w:ind w:firstLine="426"/>
              <w:rPr>
                <w:rFonts w:ascii="Verdana" w:hAnsi="Verdana" w:cs="Verdana"/>
              </w:rPr>
            </w:pPr>
            <w:r w:rsidRPr="00061EFC">
              <w:rPr>
                <w:rFonts w:ascii="Verdana" w:hAnsi="Verdana" w:cs="Verdana"/>
              </w:rPr>
              <w:t>1)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DC24E2" w:rsidRPr="00061EFC" w:rsidRDefault="00DC24E2" w:rsidP="00DC24E2">
            <w:pPr>
              <w:ind w:firstLine="426"/>
              <w:rPr>
                <w:rFonts w:ascii="Verdana" w:hAnsi="Verdana" w:cs="Verdana"/>
              </w:rPr>
            </w:pPr>
            <w:r w:rsidRPr="00061EFC">
              <w:rPr>
                <w:rFonts w:ascii="Verdana" w:hAnsi="Verdana" w:cs="Verdana"/>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DC24E2" w:rsidRPr="00916EE9" w:rsidRDefault="00DC24E2" w:rsidP="00DC24E2">
            <w:pPr>
              <w:ind w:firstLine="426"/>
              <w:rPr>
                <w:rFonts w:ascii="Verdana" w:hAnsi="Verdana" w:cs="Verdana"/>
              </w:rPr>
            </w:pPr>
            <w:r w:rsidRPr="00061EFC">
              <w:rPr>
                <w:rFonts w:ascii="Verdana" w:hAnsi="Verdana" w:cs="Verdana"/>
              </w:rPr>
              <w:t xml:space="preserve">3) сделки совершаются с ценными бумагами, входящими в состав другого паевого инвестиционного фонда, инвестиционные паи которого могут быть обменены на </w:t>
            </w:r>
            <w:r w:rsidRPr="00916EE9">
              <w:rPr>
                <w:rFonts w:ascii="Verdana" w:hAnsi="Verdana" w:cs="Verdana"/>
              </w:rPr>
              <w:t>инвестиционные паи фонда.</w:t>
            </w:r>
          </w:p>
          <w:p w:rsidR="009A2B34" w:rsidRPr="000A35E6" w:rsidRDefault="009A2B34" w:rsidP="009A2B34">
            <w:pPr>
              <w:ind w:firstLine="426"/>
              <w:rPr>
                <w:rFonts w:ascii="Verdana" w:hAnsi="Verdana" w:cs="Verdana"/>
              </w:rPr>
            </w:pPr>
          </w:p>
        </w:tc>
        <w:tc>
          <w:tcPr>
            <w:tcW w:w="5211" w:type="dxa"/>
          </w:tcPr>
          <w:p w:rsidR="00DC24E2" w:rsidRPr="004E0405" w:rsidRDefault="00DC24E2" w:rsidP="00DC24E2">
            <w:pPr>
              <w:ind w:firstLine="426"/>
              <w:rPr>
                <w:rFonts w:ascii="Verdana" w:hAnsi="Verdana" w:cs="Verdana"/>
              </w:rPr>
            </w:pPr>
            <w:r w:rsidRPr="00FE11DC">
              <w:rPr>
                <w:rFonts w:ascii="Verdana" w:hAnsi="Verdana" w:cs="Verdana"/>
              </w:rPr>
              <w:t>3</w:t>
            </w:r>
            <w:r w:rsidRPr="00672EE9">
              <w:rPr>
                <w:rFonts w:ascii="Verdana" w:hAnsi="Verdana"/>
              </w:rPr>
              <w:t>0</w:t>
            </w:r>
            <w:r w:rsidRPr="00FE11DC">
              <w:rPr>
                <w:rFonts w:ascii="Verdana" w:hAnsi="Verdana" w:cs="Verdana"/>
              </w:rPr>
              <w:t>. По сделкам, совершенным в нарушение требований подпунктов 1, 3 и 5 пункта 29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w:t>
            </w:r>
            <w:r>
              <w:rPr>
                <w:rFonts w:ascii="Verdana" w:hAnsi="Verdana" w:cs="Verdana"/>
              </w:rPr>
              <w:t>ет имущества, составляющего фонд.</w:t>
            </w:r>
          </w:p>
          <w:p w:rsidR="009A2B34" w:rsidRPr="0029748E" w:rsidRDefault="009A2B34" w:rsidP="009A2B34">
            <w:pPr>
              <w:ind w:firstLine="540"/>
              <w:rPr>
                <w:rFonts w:ascii="Verdana" w:hAnsi="Verdana" w:cs="Verdana"/>
              </w:rPr>
            </w:pPr>
          </w:p>
        </w:tc>
      </w:tr>
      <w:tr w:rsidR="00D6549B" w:rsidRPr="00CF3829">
        <w:tblPrEx>
          <w:tblCellMar>
            <w:top w:w="0" w:type="dxa"/>
            <w:bottom w:w="0" w:type="dxa"/>
          </w:tblCellMar>
        </w:tblPrEx>
        <w:tc>
          <w:tcPr>
            <w:tcW w:w="5211" w:type="dxa"/>
          </w:tcPr>
          <w:p w:rsidR="00482DD9" w:rsidRPr="00916EE9" w:rsidRDefault="00482DD9" w:rsidP="00482DD9">
            <w:pPr>
              <w:ind w:firstLine="720"/>
              <w:rPr>
                <w:rFonts w:ascii="Verdana" w:hAnsi="Verdana" w:cs="Verdana"/>
              </w:rPr>
            </w:pPr>
            <w:r w:rsidRPr="00916EE9">
              <w:rPr>
                <w:rFonts w:ascii="Verdana" w:hAnsi="Verdana" w:cs="Verdana"/>
              </w:rPr>
              <w:t>31. Ограничения на совершение сделок, установленные абзацем десятым подпункта 5 пункта 29 настоящих Правил, не применяются, если указанные сделки:</w:t>
            </w:r>
          </w:p>
          <w:p w:rsidR="00482DD9" w:rsidRPr="00916EE9" w:rsidRDefault="00482DD9" w:rsidP="00482DD9">
            <w:pPr>
              <w:ind w:firstLine="720"/>
              <w:rPr>
                <w:rFonts w:ascii="Verdana" w:hAnsi="Verdana" w:cs="Verdana"/>
              </w:rPr>
            </w:pPr>
            <w:r w:rsidRPr="00916EE9">
              <w:rPr>
                <w:rFonts w:ascii="Verdana" w:hAnsi="Verdana" w:cs="Verdana"/>
              </w:rPr>
              <w:t>1) совершаются с ценными бумагами, включенными в котировальные списки российских фондовых бирж;</w:t>
            </w:r>
          </w:p>
          <w:p w:rsidR="00482DD9" w:rsidRPr="00916EE9" w:rsidRDefault="00482DD9" w:rsidP="00482DD9">
            <w:pPr>
              <w:ind w:firstLine="720"/>
              <w:rPr>
                <w:rFonts w:ascii="Verdana" w:hAnsi="Verdana" w:cs="Verdana"/>
              </w:rPr>
            </w:pPr>
            <w:r w:rsidRPr="00916EE9">
              <w:rPr>
                <w:rFonts w:ascii="Verdana" w:hAnsi="Verdana" w:cs="Verdana"/>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82DD9" w:rsidRPr="00916EE9" w:rsidRDefault="00482DD9" w:rsidP="00482DD9">
            <w:pPr>
              <w:ind w:firstLine="720"/>
              <w:rPr>
                <w:rFonts w:ascii="Verdana" w:hAnsi="Verdana" w:cs="Verdana"/>
              </w:rPr>
            </w:pPr>
            <w:r w:rsidRPr="00916EE9">
              <w:rPr>
                <w:rFonts w:ascii="Verdana" w:hAnsi="Verdana" w:cs="Verdana"/>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D6549B" w:rsidRPr="00061EFC" w:rsidRDefault="00D6549B" w:rsidP="00DC24E2">
            <w:pPr>
              <w:ind w:firstLine="426"/>
              <w:rPr>
                <w:rFonts w:ascii="Verdana" w:hAnsi="Verdana" w:cs="Verdana"/>
              </w:rPr>
            </w:pPr>
          </w:p>
        </w:tc>
        <w:tc>
          <w:tcPr>
            <w:tcW w:w="5211" w:type="dxa"/>
          </w:tcPr>
          <w:p w:rsidR="00D6549B" w:rsidRDefault="00482DD9" w:rsidP="00DC24E2">
            <w:pPr>
              <w:ind w:firstLine="426"/>
              <w:rPr>
                <w:rFonts w:ascii="Verdana" w:hAnsi="Verdana" w:cs="Verdana"/>
                <w:sz w:val="18"/>
                <w:szCs w:val="18"/>
              </w:rPr>
            </w:pPr>
            <w:r>
              <w:rPr>
                <w:rFonts w:ascii="Verdana" w:hAnsi="Verdana" w:cs="Verdana"/>
                <w:sz w:val="18"/>
                <w:szCs w:val="18"/>
              </w:rPr>
              <w:lastRenderedPageBreak/>
              <w:t>Пункт 31. – Исключить</w:t>
            </w:r>
          </w:p>
          <w:p w:rsidR="00482DD9" w:rsidRPr="00FE11DC" w:rsidRDefault="00482DD9" w:rsidP="00DC24E2">
            <w:pPr>
              <w:ind w:firstLine="426"/>
              <w:rPr>
                <w:rFonts w:ascii="Verdana" w:hAnsi="Verdana" w:cs="Verdana"/>
              </w:rPr>
            </w:pPr>
          </w:p>
        </w:tc>
      </w:tr>
      <w:tr w:rsidR="00482DD9" w:rsidRPr="00CF3829">
        <w:tblPrEx>
          <w:tblCellMar>
            <w:top w:w="0" w:type="dxa"/>
            <w:bottom w:w="0" w:type="dxa"/>
          </w:tblCellMar>
        </w:tblPrEx>
        <w:tc>
          <w:tcPr>
            <w:tcW w:w="5211" w:type="dxa"/>
          </w:tcPr>
          <w:p w:rsidR="00482DD9" w:rsidRPr="00061EFC" w:rsidRDefault="00482DD9" w:rsidP="00482DD9">
            <w:pPr>
              <w:ind w:firstLine="426"/>
              <w:rPr>
                <w:rFonts w:ascii="Verdana" w:hAnsi="Verdana" w:cs="Verdana"/>
              </w:rPr>
            </w:pPr>
            <w:r w:rsidRPr="00061EFC">
              <w:rPr>
                <w:rFonts w:ascii="Verdana" w:hAnsi="Verdana" w:cs="Verdana"/>
              </w:rPr>
              <w:lastRenderedPageBreak/>
              <w:t>32. По сделкам, совершенным в нарушение требований подпунктов 1, 3 и 5 пункта 29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82DD9" w:rsidRPr="00916EE9" w:rsidRDefault="00482DD9" w:rsidP="00482DD9">
            <w:pPr>
              <w:ind w:firstLine="720"/>
              <w:rPr>
                <w:rFonts w:ascii="Verdana" w:hAnsi="Verdana" w:cs="Verdana"/>
              </w:rPr>
            </w:pPr>
          </w:p>
        </w:tc>
        <w:tc>
          <w:tcPr>
            <w:tcW w:w="5211" w:type="dxa"/>
          </w:tcPr>
          <w:p w:rsidR="00482DD9" w:rsidRDefault="00482DD9" w:rsidP="00482DD9">
            <w:pPr>
              <w:ind w:firstLine="426"/>
              <w:rPr>
                <w:rFonts w:ascii="Verdana" w:hAnsi="Verdana" w:cs="Verdana"/>
                <w:sz w:val="18"/>
                <w:szCs w:val="18"/>
              </w:rPr>
            </w:pPr>
            <w:r>
              <w:rPr>
                <w:rFonts w:ascii="Verdana" w:hAnsi="Verdana" w:cs="Verdana"/>
                <w:sz w:val="18"/>
                <w:szCs w:val="18"/>
              </w:rPr>
              <w:t>Пункт 32. – Исключить</w:t>
            </w:r>
          </w:p>
        </w:tc>
      </w:tr>
      <w:tr w:rsidR="0013614B" w:rsidRPr="00CF3829" w:rsidTr="004F0E00">
        <w:tblPrEx>
          <w:tblCellMar>
            <w:top w:w="0" w:type="dxa"/>
            <w:bottom w:w="0" w:type="dxa"/>
          </w:tblCellMar>
        </w:tblPrEx>
        <w:tc>
          <w:tcPr>
            <w:tcW w:w="10422" w:type="dxa"/>
            <w:gridSpan w:val="2"/>
          </w:tcPr>
          <w:p w:rsidR="0013614B" w:rsidRDefault="0013614B" w:rsidP="00482DD9">
            <w:pPr>
              <w:ind w:firstLine="426"/>
              <w:rPr>
                <w:rFonts w:ascii="Verdana" w:hAnsi="Verdana" w:cs="Verdana"/>
                <w:sz w:val="18"/>
                <w:szCs w:val="18"/>
              </w:rPr>
            </w:pPr>
            <w:r>
              <w:rPr>
                <w:rFonts w:ascii="Verdana" w:hAnsi="Verdana" w:cs="Verdana"/>
              </w:rPr>
              <w:t>Пункты правил фонда 33 – 124 считать соответственно пунктами правил 31 – 122.</w:t>
            </w:r>
          </w:p>
        </w:tc>
      </w:tr>
      <w:tr w:rsidR="0013614B" w:rsidRPr="00CF3829" w:rsidTr="004E533A">
        <w:tblPrEx>
          <w:tblCellMar>
            <w:top w:w="0" w:type="dxa"/>
            <w:bottom w:w="0" w:type="dxa"/>
          </w:tblCellMar>
        </w:tblPrEx>
        <w:tc>
          <w:tcPr>
            <w:tcW w:w="5211" w:type="dxa"/>
          </w:tcPr>
          <w:p w:rsidR="00BC0899" w:rsidRPr="00916EE9" w:rsidRDefault="00BC0899" w:rsidP="00BC0899">
            <w:pPr>
              <w:ind w:firstLine="426"/>
              <w:rPr>
                <w:rFonts w:ascii="Verdana" w:hAnsi="Verdana" w:cs="Verdana"/>
              </w:rPr>
            </w:pPr>
            <w:r w:rsidRPr="00EF064F">
              <w:rPr>
                <w:rFonts w:ascii="Verdana" w:hAnsi="Verdana" w:cs="Verdana"/>
              </w:rPr>
              <w:t>40. </w:t>
            </w:r>
            <w:r w:rsidRPr="002E1ECB">
              <w:rPr>
                <w:rFonts w:ascii="Verdana" w:hAnsi="Verdana" w:cs="Verdana"/>
              </w:rPr>
              <w:t xml:space="preserve">Способы получения </w:t>
            </w:r>
            <w:r w:rsidRPr="00916EE9">
              <w:rPr>
                <w:rFonts w:ascii="Verdana" w:hAnsi="Verdana" w:cs="Verdana"/>
              </w:rPr>
              <w:t>выписок из реестра владельцев инвестиционных паев.</w:t>
            </w:r>
          </w:p>
          <w:p w:rsidR="00BC0899" w:rsidRPr="002E1ECB" w:rsidRDefault="00BC0899" w:rsidP="00BC0899">
            <w:pPr>
              <w:ind w:firstLine="426"/>
              <w:rPr>
                <w:rFonts w:ascii="Verdana" w:hAnsi="Verdana" w:cs="Verdana"/>
              </w:rPr>
            </w:pPr>
            <w:r w:rsidRPr="00916EE9">
              <w:rPr>
                <w:rFonts w:ascii="Verdana" w:hAnsi="Verdana" w:cs="Verdana"/>
              </w:rPr>
              <w:t>При отсутствии указания в данных счета иного способа предоставления выписки она вручается лично у регистратора или иного уполномоченного им лица заявителю или его представителю, действующему на основании доверенности. При представлении</w:t>
            </w:r>
            <w:r w:rsidRPr="002E1ECB">
              <w:rPr>
                <w:rFonts w:ascii="Verdana" w:hAnsi="Verdana" w:cs="Verdana"/>
              </w:rPr>
              <w:t xml:space="preserve"> выписки по запросу нотариуса или уполномоченного законом государственного органа она направляется по адресу соответствующего нотариуса или органа, указанного в запросе. </w:t>
            </w:r>
          </w:p>
          <w:p w:rsidR="0013614B" w:rsidRDefault="0013614B" w:rsidP="00482DD9">
            <w:pPr>
              <w:ind w:firstLine="426"/>
              <w:rPr>
                <w:rFonts w:ascii="Verdana" w:hAnsi="Verdana" w:cs="Verdana"/>
              </w:rPr>
            </w:pPr>
          </w:p>
        </w:tc>
        <w:tc>
          <w:tcPr>
            <w:tcW w:w="5211" w:type="dxa"/>
          </w:tcPr>
          <w:p w:rsidR="00B53329" w:rsidRPr="00D52022" w:rsidRDefault="00B53329" w:rsidP="00B53329">
            <w:pPr>
              <w:ind w:firstLine="426"/>
              <w:rPr>
                <w:rFonts w:ascii="Verdana" w:hAnsi="Verdana" w:cs="Verdana"/>
              </w:rPr>
            </w:pPr>
            <w:r>
              <w:rPr>
                <w:rFonts w:ascii="Verdana" w:hAnsi="Verdana" w:cs="Verdana"/>
              </w:rPr>
              <w:t>3</w:t>
            </w:r>
            <w:r w:rsidRPr="00672EE9">
              <w:rPr>
                <w:rFonts w:ascii="Verdana" w:hAnsi="Verdana" w:cs="Verdana"/>
              </w:rPr>
              <w:t>8</w:t>
            </w:r>
            <w:r w:rsidRPr="00D52022">
              <w:rPr>
                <w:rFonts w:ascii="Verdana" w:hAnsi="Verdana" w:cs="Verdana"/>
              </w:rPr>
              <w:t>. Способы получения выписок из реестра владельцев инвестиционных паев.</w:t>
            </w:r>
          </w:p>
          <w:p w:rsidR="00B53329" w:rsidRPr="00CA09AF" w:rsidRDefault="00B53329" w:rsidP="00B53329">
            <w:pPr>
              <w:ind w:firstLine="426"/>
              <w:rPr>
                <w:rFonts w:ascii="Verdana" w:hAnsi="Verdana" w:cs="Verdana"/>
              </w:rPr>
            </w:pPr>
            <w:r w:rsidRPr="00CA09AF">
              <w:rPr>
                <w:rFonts w:ascii="Verdana" w:hAnsi="Verdana" w:cs="Verdana"/>
              </w:rPr>
              <w:t> Выписка, предоставляемая в электронно-цифровой форме, направляется заявителю в электронно-цифровой форме с электронной цифровой подписью регистратора.</w:t>
            </w:r>
          </w:p>
          <w:p w:rsidR="00B53329" w:rsidRPr="00CA09AF" w:rsidRDefault="00B53329" w:rsidP="00B53329">
            <w:pPr>
              <w:ind w:firstLine="426"/>
              <w:rPr>
                <w:rFonts w:ascii="Verdana" w:hAnsi="Verdana" w:cs="Verdana"/>
              </w:rPr>
            </w:pPr>
            <w:r w:rsidRPr="00CA09AF">
              <w:rPr>
                <w:rFonts w:ascii="Verdana" w:hAnsi="Verdana" w:cs="Verdana"/>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B53329" w:rsidRPr="00CA09AF" w:rsidRDefault="00B53329" w:rsidP="00B53329">
            <w:pPr>
              <w:ind w:firstLine="426"/>
              <w:rPr>
                <w:rFonts w:ascii="Verdana" w:hAnsi="Verdana" w:cs="Verdana"/>
              </w:rPr>
            </w:pPr>
            <w:r w:rsidRPr="00CA09AF">
              <w:rPr>
                <w:rFonts w:ascii="Verdana" w:hAnsi="Verdana" w:cs="Verdana"/>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13614B" w:rsidRDefault="0013614B" w:rsidP="00482DD9">
            <w:pPr>
              <w:ind w:firstLine="426"/>
              <w:rPr>
                <w:rFonts w:ascii="Verdana" w:hAnsi="Verdana" w:cs="Verdana"/>
              </w:rPr>
            </w:pPr>
          </w:p>
        </w:tc>
      </w:tr>
      <w:tr w:rsidR="0050473D" w:rsidRPr="00CF3829" w:rsidTr="004E533A">
        <w:tblPrEx>
          <w:tblCellMar>
            <w:top w:w="0" w:type="dxa"/>
            <w:bottom w:w="0" w:type="dxa"/>
          </w:tblCellMar>
        </w:tblPrEx>
        <w:tc>
          <w:tcPr>
            <w:tcW w:w="5211" w:type="dxa"/>
          </w:tcPr>
          <w:p w:rsidR="0050473D" w:rsidRPr="00916EE9" w:rsidRDefault="0050473D" w:rsidP="0050473D">
            <w:pPr>
              <w:ind w:firstLine="426"/>
              <w:rPr>
                <w:rFonts w:ascii="Verdana" w:hAnsi="Verdana" w:cs="Verdana"/>
              </w:rPr>
            </w:pPr>
            <w:r w:rsidRPr="00EF064F">
              <w:rPr>
                <w:rFonts w:ascii="Verdana" w:hAnsi="Verdana" w:cs="Verdana"/>
              </w:rPr>
              <w:t xml:space="preserve">48. Порядок подачи </w:t>
            </w:r>
            <w:r w:rsidRPr="00916EE9">
              <w:rPr>
                <w:rFonts w:ascii="Verdana" w:hAnsi="Verdana" w:cs="Verdana"/>
              </w:rPr>
              <w:t>заявок на приобретение инвестиционных паев:</w:t>
            </w:r>
          </w:p>
          <w:p w:rsidR="0050473D" w:rsidRPr="00916EE9" w:rsidRDefault="0050473D" w:rsidP="0050473D">
            <w:pPr>
              <w:ind w:firstLine="426"/>
              <w:rPr>
                <w:rFonts w:ascii="Verdana" w:hAnsi="Verdana" w:cs="Verdana"/>
              </w:rPr>
            </w:pPr>
            <w:r w:rsidRPr="00916EE9">
              <w:rPr>
                <w:rFonts w:ascii="Verdana" w:hAnsi="Verdana" w:cs="Verdana"/>
              </w:rPr>
              <w:t>Заявки на приобретение инвестиционных паев, оформленные в соответствии с приложениями № 1 и № 2 к настоящим Правилам, подаются в пунктах приема заявок инвестором или его уполномоченным представителем.</w:t>
            </w:r>
          </w:p>
          <w:p w:rsidR="0050473D" w:rsidRDefault="0050473D" w:rsidP="0050473D">
            <w:pPr>
              <w:ind w:firstLine="426"/>
              <w:rPr>
                <w:rFonts w:ascii="Verdana" w:hAnsi="Verdana" w:cs="Verdana"/>
              </w:rPr>
            </w:pPr>
            <w:r w:rsidRPr="00916EE9">
              <w:rPr>
                <w:rFonts w:ascii="Verdana" w:hAnsi="Verdana" w:cs="Verdana"/>
              </w:rPr>
              <w:t>Заявки на приобретение инвестиционных паев, оформленные в соответствии с приложени</w:t>
            </w:r>
            <w:r>
              <w:rPr>
                <w:rFonts w:ascii="Verdana" w:hAnsi="Verdana" w:cs="Verdana"/>
              </w:rPr>
              <w:t>ями</w:t>
            </w:r>
            <w:r w:rsidRPr="00916EE9">
              <w:rPr>
                <w:rFonts w:ascii="Verdana" w:hAnsi="Verdana" w:cs="Verdana"/>
              </w:rPr>
              <w:t xml:space="preserve"> № 3  к настоящим Правилам</w:t>
            </w:r>
            <w:r>
              <w:rPr>
                <w:rFonts w:ascii="Verdana" w:hAnsi="Verdana" w:cs="Verdana"/>
              </w:rPr>
              <w:t>, подаются в пунктах приема заявок номинальным держателем или его уполномоченным представителем.</w:t>
            </w:r>
          </w:p>
          <w:p w:rsidR="0050473D" w:rsidRPr="00EF064F" w:rsidRDefault="0050473D" w:rsidP="0050473D">
            <w:pPr>
              <w:ind w:firstLine="426"/>
              <w:rPr>
                <w:rFonts w:ascii="Verdana" w:hAnsi="Verdana" w:cs="Verdana"/>
              </w:rPr>
            </w:pPr>
            <w:r w:rsidRPr="00EF064F">
              <w:rPr>
                <w:rFonts w:ascii="Verdana" w:hAnsi="Verdana" w:cs="Verdana"/>
              </w:rPr>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191186, Санкт-Петербург, улица Миллионная, дом 8, ЗАО «Центральная Управляющая Компания». При этом подпись на заявке должна быть удостоверена нотариально.</w:t>
            </w:r>
          </w:p>
          <w:p w:rsidR="0050473D" w:rsidRDefault="0050473D" w:rsidP="0050473D">
            <w:pPr>
              <w:ind w:firstLine="426"/>
              <w:rPr>
                <w:rFonts w:ascii="Verdana" w:hAnsi="Verdana" w:cs="Verdana"/>
              </w:rPr>
            </w:pPr>
            <w:r w:rsidRPr="00EF064F">
              <w:rPr>
                <w:rFonts w:ascii="Verdana" w:hAnsi="Verdana" w:cs="Verdana"/>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50473D" w:rsidRPr="00EF064F" w:rsidRDefault="0050473D" w:rsidP="0050473D">
            <w:pPr>
              <w:ind w:firstLine="426"/>
              <w:rPr>
                <w:rFonts w:ascii="Verdana" w:hAnsi="Verdana" w:cs="Verdana"/>
              </w:rPr>
            </w:pPr>
            <w:r>
              <w:rPr>
                <w:rFonts w:ascii="Verdana" w:hAnsi="Verdana" w:cs="Verdana"/>
              </w:rPr>
              <w:t xml:space="preserve">В случае отказа в приеме заявки на </w:t>
            </w:r>
            <w:r>
              <w:rPr>
                <w:rFonts w:ascii="Verdana" w:hAnsi="Verdana" w:cs="Verdana"/>
              </w:rPr>
              <w:lastRenderedPageBreak/>
              <w:t xml:space="preserve">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 </w:t>
            </w:r>
          </w:p>
          <w:p w:rsidR="0050473D" w:rsidRDefault="0050473D" w:rsidP="0050473D">
            <w:pPr>
              <w:ind w:firstLine="426"/>
              <w:rPr>
                <w:rFonts w:ascii="Verdana" w:hAnsi="Verdana" w:cs="Verdana"/>
              </w:rPr>
            </w:pPr>
            <w:r w:rsidRPr="001A48F0">
              <w:rPr>
                <w:rFonts w:ascii="Verdana" w:hAnsi="Verdana" w:cs="Verdana"/>
              </w:rPr>
              <w:t>Заявки на приобретение инвестиционных паев, направленные электронной почтой, факсом или курьером не принимаются.</w:t>
            </w:r>
          </w:p>
          <w:p w:rsidR="0050473D" w:rsidRPr="00EF064F" w:rsidRDefault="0050473D" w:rsidP="0050473D">
            <w:pPr>
              <w:ind w:firstLine="426"/>
              <w:rPr>
                <w:rFonts w:ascii="Verdana" w:hAnsi="Verdana" w:cs="Verdana"/>
              </w:rPr>
            </w:pPr>
          </w:p>
          <w:p w:rsidR="0050473D" w:rsidRPr="00EF064F" w:rsidRDefault="0050473D" w:rsidP="00BC0899">
            <w:pPr>
              <w:ind w:firstLine="426"/>
              <w:rPr>
                <w:rFonts w:ascii="Verdana" w:hAnsi="Verdana" w:cs="Verdana"/>
              </w:rPr>
            </w:pPr>
          </w:p>
        </w:tc>
        <w:tc>
          <w:tcPr>
            <w:tcW w:w="5211" w:type="dxa"/>
          </w:tcPr>
          <w:p w:rsidR="0050473D" w:rsidRPr="00D52022" w:rsidRDefault="0050473D" w:rsidP="0050473D">
            <w:pPr>
              <w:ind w:firstLine="426"/>
              <w:rPr>
                <w:rFonts w:ascii="Verdana" w:hAnsi="Verdana" w:cs="Verdana"/>
              </w:rPr>
            </w:pPr>
            <w:r w:rsidRPr="00D52022">
              <w:rPr>
                <w:rFonts w:ascii="Verdana" w:hAnsi="Verdana" w:cs="Verdana"/>
              </w:rPr>
              <w:lastRenderedPageBreak/>
              <w:t>4</w:t>
            </w:r>
            <w:r w:rsidRPr="00672EE9">
              <w:rPr>
                <w:rFonts w:ascii="Verdana" w:hAnsi="Verdana" w:cs="Verdana"/>
              </w:rPr>
              <w:t>6</w:t>
            </w:r>
            <w:r w:rsidRPr="00D52022">
              <w:rPr>
                <w:rFonts w:ascii="Verdana" w:hAnsi="Verdana" w:cs="Verdana"/>
              </w:rPr>
              <w:t>. Порядок подачи заявок на приобретение инвестиционных паев:</w:t>
            </w:r>
          </w:p>
          <w:p w:rsidR="0050473D" w:rsidRPr="00D52022" w:rsidRDefault="0050473D" w:rsidP="0050473D">
            <w:pPr>
              <w:ind w:firstLine="426"/>
              <w:rPr>
                <w:rFonts w:ascii="Verdana" w:hAnsi="Verdana" w:cs="Verdana"/>
              </w:rPr>
            </w:pPr>
            <w:r w:rsidRPr="00D52022">
              <w:rPr>
                <w:rFonts w:ascii="Verdana" w:hAnsi="Verdana" w:cs="Verdana"/>
              </w:rPr>
              <w:t>Заявки на приобретение инвестиционных паев, оформленные в соответствии с приложениями № 1 и № 2 к настоящим Правилам, подаются в пунктах приема заявок инвестором или его уполномоченным представителем.</w:t>
            </w:r>
          </w:p>
          <w:p w:rsidR="0050473D" w:rsidRPr="00D52022" w:rsidRDefault="0050473D" w:rsidP="0050473D">
            <w:pPr>
              <w:ind w:firstLine="426"/>
              <w:rPr>
                <w:rFonts w:ascii="Verdana" w:hAnsi="Verdana" w:cs="Verdana"/>
              </w:rPr>
            </w:pPr>
            <w:r w:rsidRPr="00D52022">
              <w:rPr>
                <w:rFonts w:ascii="Verdana" w:hAnsi="Verdana" w:cs="Verdana"/>
              </w:rPr>
              <w:t>Заявки на приобретение инвестиционных паев, оформленные в соответствии с приложениями № 3  к настоящим Правилам, подаются в пунктах приема заявок номинальным держателем или его уполномоченным представителем.</w:t>
            </w:r>
          </w:p>
          <w:p w:rsidR="0050473D" w:rsidRPr="00D52022" w:rsidRDefault="0050473D" w:rsidP="0050473D">
            <w:pPr>
              <w:ind w:firstLine="426"/>
              <w:rPr>
                <w:rFonts w:ascii="Verdana" w:hAnsi="Verdana" w:cs="Verdana"/>
              </w:rPr>
            </w:pPr>
            <w:r w:rsidRPr="00D52022">
              <w:rPr>
                <w:rFonts w:ascii="Verdana" w:hAnsi="Verdana" w:cs="Verdana"/>
              </w:rPr>
              <w:t>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195220, Санкт-Петербург, проспект Непокоренных, дом 17, к.4, лит.В ЗАО «Центральная Управляющая Компания». При этом подпись на заявке должна быть удостоверена нотариально.</w:t>
            </w:r>
          </w:p>
          <w:p w:rsidR="0050473D" w:rsidRPr="00D52022" w:rsidRDefault="0050473D" w:rsidP="0050473D">
            <w:pPr>
              <w:ind w:firstLine="426"/>
              <w:rPr>
                <w:rFonts w:ascii="Verdana" w:hAnsi="Verdana" w:cs="Verdana"/>
              </w:rPr>
            </w:pPr>
            <w:r w:rsidRPr="00D52022">
              <w:rPr>
                <w:rFonts w:ascii="Verdana" w:hAnsi="Verdana" w:cs="Verdana"/>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50473D" w:rsidRPr="00D52022" w:rsidRDefault="0050473D" w:rsidP="0050473D">
            <w:pPr>
              <w:ind w:firstLine="426"/>
              <w:rPr>
                <w:rFonts w:ascii="Verdana" w:hAnsi="Verdana" w:cs="Verdana"/>
              </w:rPr>
            </w:pPr>
            <w:r w:rsidRPr="00D52022">
              <w:rPr>
                <w:rFonts w:ascii="Verdana" w:hAnsi="Verdana" w:cs="Verdana"/>
              </w:rPr>
              <w:t xml:space="preserve">В случае отказа в приеме заявки на </w:t>
            </w:r>
            <w:r w:rsidRPr="00D52022">
              <w:rPr>
                <w:rFonts w:ascii="Verdana" w:hAnsi="Verdana" w:cs="Verdana"/>
              </w:rPr>
              <w:lastRenderedPageBreak/>
              <w:t xml:space="preserve">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 </w:t>
            </w:r>
          </w:p>
          <w:p w:rsidR="0050473D" w:rsidRPr="00D52022" w:rsidRDefault="0050473D" w:rsidP="0050473D">
            <w:pPr>
              <w:ind w:firstLine="426"/>
              <w:rPr>
                <w:rFonts w:ascii="Verdana" w:hAnsi="Verdana" w:cs="Verdana"/>
              </w:rPr>
            </w:pPr>
            <w:r w:rsidRPr="00D52022">
              <w:rPr>
                <w:rFonts w:ascii="Verdana" w:hAnsi="Verdana" w:cs="Verdana"/>
              </w:rPr>
              <w:t>Заявки на приобретение инвестиционных паев, направленные электронной почтой, факсом или курьером не принимаются.</w:t>
            </w:r>
          </w:p>
          <w:p w:rsidR="0050473D" w:rsidRDefault="0050473D" w:rsidP="00B53329">
            <w:pPr>
              <w:ind w:firstLine="426"/>
              <w:rPr>
                <w:rFonts w:ascii="Verdana" w:hAnsi="Verdana" w:cs="Verdana"/>
              </w:rPr>
            </w:pPr>
          </w:p>
        </w:tc>
      </w:tr>
      <w:tr w:rsidR="001D0064" w:rsidRPr="00CF3829" w:rsidTr="004E533A">
        <w:tblPrEx>
          <w:tblCellMar>
            <w:top w:w="0" w:type="dxa"/>
            <w:bottom w:w="0" w:type="dxa"/>
          </w:tblCellMar>
        </w:tblPrEx>
        <w:tc>
          <w:tcPr>
            <w:tcW w:w="5211" w:type="dxa"/>
          </w:tcPr>
          <w:p w:rsidR="00B366D1" w:rsidRPr="00A03E3E" w:rsidRDefault="00B366D1" w:rsidP="00B366D1">
            <w:pPr>
              <w:ind w:firstLine="426"/>
              <w:rPr>
                <w:rFonts w:ascii="Verdana" w:hAnsi="Verdana" w:cs="Verdana"/>
              </w:rPr>
            </w:pPr>
            <w:r>
              <w:rPr>
                <w:rFonts w:ascii="Verdana" w:hAnsi="Verdana" w:cs="Verdana"/>
              </w:rPr>
              <w:lastRenderedPageBreak/>
              <w:t>68</w:t>
            </w:r>
            <w:r w:rsidRPr="00A03E3E">
              <w:rPr>
                <w:rFonts w:ascii="Verdana" w:hAnsi="Verdana" w:cs="Verdana"/>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B366D1" w:rsidRPr="00A03E3E" w:rsidRDefault="00B366D1" w:rsidP="00B366D1">
            <w:pPr>
              <w:ind w:firstLine="426"/>
              <w:rPr>
                <w:rFonts w:ascii="Verdana" w:hAnsi="Verdana" w:cs="Verdana"/>
              </w:rPr>
            </w:pPr>
            <w:r w:rsidRPr="00A03E3E">
              <w:rPr>
                <w:rFonts w:ascii="Verdana" w:hAnsi="Verdana" w:cs="Verdana"/>
              </w:rPr>
              <w:t>Заявки на погашение инвестиционных паев носят безотзывный характер.</w:t>
            </w:r>
          </w:p>
          <w:p w:rsidR="00B366D1" w:rsidRDefault="00B366D1" w:rsidP="00B366D1">
            <w:pPr>
              <w:ind w:firstLine="426"/>
              <w:rPr>
                <w:rFonts w:ascii="Verdana" w:hAnsi="Verdana" w:cs="Verdana"/>
              </w:rPr>
            </w:pPr>
            <w:r w:rsidRPr="00A03E3E">
              <w:rPr>
                <w:rFonts w:ascii="Verdana" w:hAnsi="Verdana" w:cs="Verdana"/>
              </w:rPr>
              <w:t>Заявки на погашение инвестиционных паев подаются в следующем порядке:</w:t>
            </w:r>
          </w:p>
          <w:p w:rsidR="00B366D1" w:rsidRDefault="00B366D1" w:rsidP="00B366D1">
            <w:pPr>
              <w:ind w:firstLine="426"/>
              <w:rPr>
                <w:rFonts w:ascii="Verdana" w:hAnsi="Verdana" w:cs="Verdana"/>
              </w:rPr>
            </w:pPr>
            <w:r w:rsidRPr="00EE51FE">
              <w:rPr>
                <w:rFonts w:ascii="Verdana" w:hAnsi="Verdana" w:cs="Verdana"/>
              </w:rPr>
              <w:t xml:space="preserve">Заявки на погашение инвестиционных паев, оформленные в соответствии с приложениями №4,№5 к настоящим Правилам, подаются в пунктах приема заявок владельцем инвестиционных паев или его уполномоченным представителем. </w:t>
            </w:r>
          </w:p>
          <w:p w:rsidR="00B366D1" w:rsidRPr="00A03E3E" w:rsidRDefault="00B366D1" w:rsidP="00B366D1">
            <w:pPr>
              <w:ind w:firstLine="426"/>
              <w:rPr>
                <w:rFonts w:ascii="Verdana" w:hAnsi="Verdana" w:cs="Verdana"/>
              </w:rPr>
            </w:pPr>
            <w:r w:rsidRPr="00EE51FE">
              <w:rPr>
                <w:rFonts w:ascii="Verdana" w:hAnsi="Verdana" w:cs="Verdana"/>
              </w:rPr>
              <w:t>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B366D1" w:rsidRPr="00A03E3E" w:rsidRDefault="00B366D1" w:rsidP="00B366D1">
            <w:pPr>
              <w:ind w:firstLine="426"/>
              <w:rPr>
                <w:rFonts w:ascii="Verdana" w:hAnsi="Verdana" w:cs="Verdana"/>
              </w:rPr>
            </w:pPr>
            <w:r w:rsidRPr="00A03E3E">
              <w:rPr>
                <w:rFonts w:ascii="Verdana" w:hAnsi="Verdana" w:cs="Verdana"/>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191186, Санкт-Петербург, улица Миллионная, дом 8, ЗАО «Центральная Управляющая Компания». При этом подпись на заявке должна быть удостоверена нотариально. </w:t>
            </w:r>
          </w:p>
          <w:p w:rsidR="00B366D1" w:rsidRDefault="00B366D1" w:rsidP="00B366D1">
            <w:pPr>
              <w:ind w:firstLine="426"/>
              <w:rPr>
                <w:rFonts w:ascii="Verdana" w:hAnsi="Verdana" w:cs="Verdana"/>
              </w:rPr>
            </w:pPr>
            <w:r w:rsidRPr="00A03E3E">
              <w:rPr>
                <w:rFonts w:ascii="Verdana" w:hAnsi="Verdana" w:cs="Verdana"/>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B366D1" w:rsidRDefault="00B366D1" w:rsidP="00B366D1">
            <w:pPr>
              <w:ind w:firstLine="426"/>
              <w:rPr>
                <w:rFonts w:ascii="Verdana" w:hAnsi="Verdana" w:cs="Verdana"/>
              </w:rPr>
            </w:pPr>
            <w:r w:rsidRPr="00675895">
              <w:rPr>
                <w:rFonts w:ascii="Verdana" w:hAnsi="Verdana" w:cs="Verdana"/>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B366D1" w:rsidRPr="00A03E3E" w:rsidRDefault="00B366D1" w:rsidP="00B366D1">
            <w:pPr>
              <w:ind w:firstLine="426"/>
              <w:rPr>
                <w:rFonts w:ascii="Verdana" w:hAnsi="Verdana" w:cs="Verdana"/>
              </w:rPr>
            </w:pPr>
            <w:r w:rsidRPr="002B4039">
              <w:rPr>
                <w:rFonts w:ascii="Verdana" w:hAnsi="Verdana" w:cs="Verdana"/>
              </w:rPr>
              <w:lastRenderedPageBreak/>
              <w:t>Заявки на погашение инвестиционных паев, направленные электронной почтой, факсом или курьером, не принимаются.</w:t>
            </w:r>
          </w:p>
          <w:p w:rsidR="00B366D1" w:rsidRPr="00A03E3E" w:rsidRDefault="00B366D1" w:rsidP="00B366D1">
            <w:pPr>
              <w:ind w:firstLine="426"/>
              <w:rPr>
                <w:rFonts w:ascii="Verdana" w:hAnsi="Verdana" w:cs="Verdana"/>
              </w:rPr>
            </w:pPr>
            <w:r w:rsidRPr="00A03E3E">
              <w:rPr>
                <w:rFonts w:ascii="Verdana" w:hAnsi="Verdana" w:cs="Verdana"/>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1D0064" w:rsidRPr="00EF064F" w:rsidRDefault="001D0064" w:rsidP="0050473D">
            <w:pPr>
              <w:ind w:firstLine="426"/>
              <w:rPr>
                <w:rFonts w:ascii="Verdana" w:hAnsi="Verdana" w:cs="Verdana"/>
              </w:rPr>
            </w:pPr>
          </w:p>
        </w:tc>
        <w:tc>
          <w:tcPr>
            <w:tcW w:w="5211" w:type="dxa"/>
          </w:tcPr>
          <w:p w:rsidR="00B366D1" w:rsidRPr="00D52022" w:rsidRDefault="00B366D1" w:rsidP="00B366D1">
            <w:pPr>
              <w:ind w:firstLine="426"/>
              <w:rPr>
                <w:rFonts w:ascii="Verdana" w:hAnsi="Verdana" w:cs="Verdana"/>
              </w:rPr>
            </w:pPr>
            <w:r w:rsidRPr="00D52022">
              <w:rPr>
                <w:rFonts w:ascii="Verdana" w:hAnsi="Verdana" w:cs="Verdana"/>
              </w:rPr>
              <w:lastRenderedPageBreak/>
              <w:t>6</w:t>
            </w:r>
            <w:r w:rsidRPr="00672EE9">
              <w:rPr>
                <w:rFonts w:ascii="Verdana" w:hAnsi="Verdana" w:cs="Verdana"/>
              </w:rPr>
              <w:t>6</w:t>
            </w:r>
            <w:r w:rsidRPr="00D52022">
              <w:rPr>
                <w:rFonts w:ascii="Verdana" w:hAnsi="Verdana" w:cs="Verdana"/>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B366D1" w:rsidRPr="00D52022" w:rsidRDefault="00B366D1" w:rsidP="00B366D1">
            <w:pPr>
              <w:ind w:firstLine="426"/>
              <w:rPr>
                <w:rFonts w:ascii="Verdana" w:hAnsi="Verdana" w:cs="Verdana"/>
              </w:rPr>
            </w:pPr>
            <w:r w:rsidRPr="00D52022">
              <w:rPr>
                <w:rFonts w:ascii="Verdana" w:hAnsi="Verdana" w:cs="Verdana"/>
              </w:rPr>
              <w:t>Заявки на погашение инвестиционных паев носят безотзывный характер.</w:t>
            </w:r>
          </w:p>
          <w:p w:rsidR="00B366D1" w:rsidRPr="00D52022" w:rsidRDefault="00B366D1" w:rsidP="00B366D1">
            <w:pPr>
              <w:ind w:firstLine="426"/>
              <w:rPr>
                <w:rFonts w:ascii="Verdana" w:hAnsi="Verdana" w:cs="Verdana"/>
              </w:rPr>
            </w:pPr>
            <w:r w:rsidRPr="00D52022">
              <w:rPr>
                <w:rFonts w:ascii="Verdana" w:hAnsi="Verdana" w:cs="Verdana"/>
              </w:rPr>
              <w:t>Заявки на погашение инвестиционных паев подаются в следующем порядке:</w:t>
            </w:r>
          </w:p>
          <w:p w:rsidR="00B366D1" w:rsidRPr="00D52022" w:rsidRDefault="00B366D1" w:rsidP="00B366D1">
            <w:pPr>
              <w:ind w:firstLine="426"/>
              <w:rPr>
                <w:rFonts w:ascii="Verdana" w:hAnsi="Verdana" w:cs="Verdana"/>
              </w:rPr>
            </w:pPr>
            <w:r w:rsidRPr="00D52022">
              <w:rPr>
                <w:rFonts w:ascii="Verdana" w:hAnsi="Verdana" w:cs="Verdana"/>
              </w:rPr>
              <w:t xml:space="preserve">Заявки на погашение инвестиционных паев, оформленные в соответствии с приложениями №4,№5 к настоящим Правилам, подаются в пунктах приема заявок владельцем инвестиционных паев или его уполномоченным представителем. </w:t>
            </w:r>
          </w:p>
          <w:p w:rsidR="00B366D1" w:rsidRPr="00D52022" w:rsidRDefault="00B366D1" w:rsidP="00B366D1">
            <w:pPr>
              <w:ind w:firstLine="426"/>
              <w:rPr>
                <w:rFonts w:ascii="Verdana" w:hAnsi="Verdana" w:cs="Verdana"/>
              </w:rPr>
            </w:pPr>
            <w:r w:rsidRPr="00D52022">
              <w:rPr>
                <w:rFonts w:ascii="Verdana" w:hAnsi="Verdana" w:cs="Verdana"/>
              </w:rPr>
              <w:t>Заявки на погашение инвестиционных паев, оформленные в соответствии с приложением № 6 к настоящим Правилам, подаются в пунктах приема заявок номинальным держателем или его уполномоченным представителем.</w:t>
            </w:r>
          </w:p>
          <w:p w:rsidR="00B366D1" w:rsidRPr="00D52022" w:rsidRDefault="00B366D1" w:rsidP="00B366D1">
            <w:pPr>
              <w:ind w:firstLine="426"/>
              <w:rPr>
                <w:rFonts w:ascii="Verdana" w:hAnsi="Verdana" w:cs="Verdana"/>
              </w:rPr>
            </w:pPr>
            <w:r w:rsidRPr="00D52022">
              <w:rPr>
                <w:rFonts w:ascii="Verdana" w:hAnsi="Verdana" w:cs="Verdana"/>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195220, Санкт-Петербург, проспект Непокоренных, дом 17, к.4, лит.В ЗАО «Центральная Управляющая Компания». При этом подпись на заявке должна быть удостоверена нотариально. </w:t>
            </w:r>
          </w:p>
          <w:p w:rsidR="00B366D1" w:rsidRPr="00D52022" w:rsidRDefault="00B366D1" w:rsidP="00B366D1">
            <w:pPr>
              <w:ind w:firstLine="426"/>
              <w:rPr>
                <w:rFonts w:ascii="Verdana" w:hAnsi="Verdana" w:cs="Verdana"/>
              </w:rPr>
            </w:pPr>
            <w:r w:rsidRPr="00D52022">
              <w:rPr>
                <w:rFonts w:ascii="Verdana" w:hAnsi="Verdana" w:cs="Verdana"/>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B366D1" w:rsidRPr="00D52022" w:rsidRDefault="00B366D1" w:rsidP="00B366D1">
            <w:pPr>
              <w:ind w:firstLine="426"/>
              <w:rPr>
                <w:rFonts w:ascii="Verdana" w:hAnsi="Verdana" w:cs="Verdana"/>
              </w:rPr>
            </w:pPr>
            <w:r w:rsidRPr="00D52022">
              <w:rPr>
                <w:rFonts w:ascii="Verdana" w:hAnsi="Verdana" w:cs="Verdana"/>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B366D1" w:rsidRPr="00D52022" w:rsidRDefault="00B366D1" w:rsidP="00B366D1">
            <w:pPr>
              <w:ind w:firstLine="426"/>
              <w:rPr>
                <w:rFonts w:ascii="Verdana" w:hAnsi="Verdana" w:cs="Verdana"/>
              </w:rPr>
            </w:pPr>
            <w:r w:rsidRPr="00D52022">
              <w:rPr>
                <w:rFonts w:ascii="Verdana" w:hAnsi="Verdana" w:cs="Verdana"/>
              </w:rPr>
              <w:lastRenderedPageBreak/>
              <w:t>Заявки на погашение инвестиционных паев, направленные электронной почтой, факсом или курьером, не принимаются.</w:t>
            </w:r>
          </w:p>
          <w:p w:rsidR="00B366D1" w:rsidRPr="00D52022" w:rsidRDefault="00B366D1" w:rsidP="00B366D1">
            <w:pPr>
              <w:ind w:firstLine="426"/>
              <w:rPr>
                <w:rFonts w:ascii="Verdana" w:hAnsi="Verdana" w:cs="Verdana"/>
              </w:rPr>
            </w:pPr>
            <w:r w:rsidRPr="00D52022">
              <w:rPr>
                <w:rFonts w:ascii="Verdana" w:hAnsi="Verdana" w:cs="Verdana"/>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1D0064" w:rsidRPr="00D52022" w:rsidRDefault="001D0064" w:rsidP="0050473D">
            <w:pPr>
              <w:ind w:firstLine="426"/>
              <w:rPr>
                <w:rFonts w:ascii="Verdana" w:hAnsi="Verdana" w:cs="Verdana"/>
              </w:rPr>
            </w:pPr>
          </w:p>
        </w:tc>
      </w:tr>
      <w:tr w:rsidR="00067ECB" w:rsidRPr="00CF3829" w:rsidTr="004E533A">
        <w:tblPrEx>
          <w:tblCellMar>
            <w:top w:w="0" w:type="dxa"/>
            <w:bottom w:w="0" w:type="dxa"/>
          </w:tblCellMar>
        </w:tblPrEx>
        <w:tc>
          <w:tcPr>
            <w:tcW w:w="5211" w:type="dxa"/>
          </w:tcPr>
          <w:p w:rsidR="00067ECB" w:rsidRPr="00675895" w:rsidRDefault="00067ECB" w:rsidP="00067ECB">
            <w:pPr>
              <w:ind w:firstLine="426"/>
              <w:rPr>
                <w:rFonts w:ascii="Verdana" w:hAnsi="Verdana" w:cs="Verdana"/>
              </w:rPr>
            </w:pPr>
            <w:r w:rsidRPr="00A03E3E">
              <w:rPr>
                <w:rFonts w:ascii="Verdana" w:hAnsi="Verdana" w:cs="Verdana"/>
              </w:rPr>
              <w:lastRenderedPageBreak/>
              <w:t>8</w:t>
            </w:r>
            <w:r w:rsidRPr="00675895">
              <w:rPr>
                <w:rFonts w:ascii="Verdana" w:hAnsi="Verdana" w:cs="Verdana"/>
              </w:rPr>
              <w:t>6</w:t>
            </w:r>
            <w:r w:rsidRPr="00A03E3E">
              <w:rPr>
                <w:rFonts w:ascii="Verdana" w:hAnsi="Verdana" w:cs="Verdana"/>
              </w:rPr>
              <w:t xml:space="preserve">. Заявки на обмен инвестиционных паев подаются в следующем порядке: </w:t>
            </w:r>
          </w:p>
          <w:p w:rsidR="00067ECB" w:rsidRPr="0031724B" w:rsidRDefault="00067ECB" w:rsidP="00067ECB">
            <w:pPr>
              <w:ind w:firstLine="426"/>
              <w:rPr>
                <w:rFonts w:ascii="Verdana" w:hAnsi="Verdana" w:cs="Verdana"/>
              </w:rPr>
            </w:pPr>
            <w:r w:rsidRPr="0031724B">
              <w:rPr>
                <w:rFonts w:ascii="Verdana" w:hAnsi="Verdana" w:cs="Verdana"/>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067ECB" w:rsidRPr="0031724B" w:rsidRDefault="00067ECB" w:rsidP="00067ECB">
            <w:pPr>
              <w:ind w:firstLine="426"/>
              <w:rPr>
                <w:rFonts w:ascii="Verdana" w:hAnsi="Verdana" w:cs="Verdana"/>
              </w:rPr>
            </w:pPr>
            <w:r w:rsidRPr="0031724B">
              <w:rPr>
                <w:rFonts w:ascii="Verdana" w:hAnsi="Verdana" w:cs="Verdana"/>
              </w:rPr>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067ECB" w:rsidRPr="00A03E3E" w:rsidRDefault="00067ECB" w:rsidP="00067ECB">
            <w:pPr>
              <w:ind w:firstLine="426"/>
              <w:rPr>
                <w:rFonts w:ascii="Verdana" w:hAnsi="Verdana" w:cs="Verdana"/>
              </w:rPr>
            </w:pPr>
            <w:r w:rsidRPr="00664EA2">
              <w:rPr>
                <w:rFonts w:ascii="Verdana" w:hAnsi="Verdana" w:cs="Verdana"/>
              </w:rPr>
              <w:t>Заявки на обмен инвестиционных паев могут направляться посредством почтовой связи заказным письмом</w:t>
            </w:r>
            <w:r w:rsidRPr="00664EA2">
              <w:rPr>
                <w:lang w:eastAsia="zh-CN"/>
              </w:rPr>
              <w:t xml:space="preserve"> </w:t>
            </w:r>
            <w:r w:rsidRPr="00664EA2">
              <w:rPr>
                <w:rFonts w:ascii="Verdana" w:hAnsi="Verdana" w:cs="Verdana"/>
                <w:lang w:eastAsia="zh-CN"/>
              </w:rPr>
              <w:t>с уведомлением о вручении</w:t>
            </w:r>
            <w:r w:rsidRPr="00664EA2">
              <w:rPr>
                <w:rFonts w:ascii="Verdana" w:hAnsi="Verdana" w:cs="Verdana"/>
              </w:rPr>
              <w:t xml:space="preserve"> на адрес управляющей компании: 191186, Санкт-Петербург, улица Миллионная, дом 8, ЗАО «Центральная Управляющая Компания». При этом подпись на заявке должна быть удостоверена нотариально.</w:t>
            </w:r>
            <w:r w:rsidRPr="00A03E3E">
              <w:rPr>
                <w:rFonts w:ascii="Verdana" w:hAnsi="Verdana" w:cs="Verdana"/>
              </w:rPr>
              <w:t xml:space="preserve"> </w:t>
            </w:r>
          </w:p>
          <w:p w:rsidR="00067ECB" w:rsidRPr="00C7082D" w:rsidRDefault="00067ECB" w:rsidP="00067ECB">
            <w:pPr>
              <w:ind w:firstLine="426"/>
              <w:rPr>
                <w:rFonts w:ascii="Verdana" w:hAnsi="Verdana" w:cs="Verdana"/>
              </w:rPr>
            </w:pPr>
            <w:r w:rsidRPr="00A03E3E">
              <w:rPr>
                <w:rFonts w:ascii="Verdana" w:hAnsi="Verdana" w:cs="Verdana"/>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067ECB" w:rsidRPr="0031724B" w:rsidRDefault="00067ECB" w:rsidP="00067ECB">
            <w:pPr>
              <w:ind w:firstLine="426"/>
              <w:rPr>
                <w:rFonts w:ascii="Verdana" w:hAnsi="Verdana" w:cs="Verdana"/>
              </w:rPr>
            </w:pPr>
            <w:r w:rsidRPr="00675895">
              <w:rPr>
                <w:rFonts w:ascii="Verdana" w:hAnsi="Verdana" w:cs="Verdana"/>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067ECB" w:rsidRDefault="00067ECB" w:rsidP="00067ECB">
            <w:pPr>
              <w:ind w:firstLine="426"/>
              <w:rPr>
                <w:rFonts w:ascii="Verdana" w:hAnsi="Verdana" w:cs="Verdana"/>
              </w:rPr>
            </w:pPr>
            <w:r w:rsidRPr="002B4039">
              <w:rPr>
                <w:rFonts w:ascii="Verdana" w:hAnsi="Verdana" w:cs="Verdana"/>
              </w:rPr>
              <w:t xml:space="preserve">Заявки на </w:t>
            </w:r>
            <w:r>
              <w:rPr>
                <w:rFonts w:ascii="Verdana" w:hAnsi="Verdana" w:cs="Verdana"/>
              </w:rPr>
              <w:t>обмен</w:t>
            </w:r>
            <w:r w:rsidRPr="002B4039">
              <w:rPr>
                <w:rFonts w:ascii="Verdana" w:hAnsi="Verdana" w:cs="Verdana"/>
              </w:rPr>
              <w:t xml:space="preserve"> инвестиционных паев, направленные электронной почтой, факсом или курьером, не принимаются.</w:t>
            </w:r>
          </w:p>
          <w:p w:rsidR="00067ECB" w:rsidRDefault="00067ECB" w:rsidP="00B366D1">
            <w:pPr>
              <w:ind w:firstLine="426"/>
              <w:rPr>
                <w:rFonts w:ascii="Verdana" w:hAnsi="Verdana" w:cs="Verdana"/>
              </w:rPr>
            </w:pPr>
          </w:p>
        </w:tc>
        <w:tc>
          <w:tcPr>
            <w:tcW w:w="5211" w:type="dxa"/>
          </w:tcPr>
          <w:p w:rsidR="00067ECB" w:rsidRPr="00D52022" w:rsidRDefault="00067ECB" w:rsidP="00067ECB">
            <w:pPr>
              <w:ind w:firstLine="426"/>
              <w:rPr>
                <w:rFonts w:ascii="Verdana" w:hAnsi="Verdana" w:cs="Verdana"/>
              </w:rPr>
            </w:pPr>
            <w:r w:rsidRPr="00D52022">
              <w:rPr>
                <w:rFonts w:ascii="Verdana" w:hAnsi="Verdana" w:cs="Verdana"/>
              </w:rPr>
              <w:t>8</w:t>
            </w:r>
            <w:r w:rsidRPr="00672EE9">
              <w:rPr>
                <w:rFonts w:ascii="Verdana" w:hAnsi="Verdana" w:cs="Verdana"/>
              </w:rPr>
              <w:t>4</w:t>
            </w:r>
            <w:r w:rsidRPr="00D52022">
              <w:rPr>
                <w:rFonts w:ascii="Verdana" w:hAnsi="Verdana" w:cs="Verdana"/>
              </w:rPr>
              <w:t xml:space="preserve">. Заявки на обмен инвестиционных паев подаются в следующем порядке: </w:t>
            </w:r>
          </w:p>
          <w:p w:rsidR="00067ECB" w:rsidRPr="00D52022" w:rsidRDefault="00067ECB" w:rsidP="00067ECB">
            <w:pPr>
              <w:ind w:firstLine="426"/>
              <w:rPr>
                <w:rFonts w:ascii="Verdana" w:hAnsi="Verdana" w:cs="Verdana"/>
              </w:rPr>
            </w:pPr>
            <w:r w:rsidRPr="00D52022">
              <w:rPr>
                <w:rFonts w:ascii="Verdana" w:hAnsi="Verdana" w:cs="Verdana"/>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067ECB" w:rsidRPr="00D52022" w:rsidRDefault="00067ECB" w:rsidP="00067ECB">
            <w:pPr>
              <w:ind w:firstLine="426"/>
              <w:rPr>
                <w:rFonts w:ascii="Verdana" w:hAnsi="Verdana" w:cs="Verdana"/>
              </w:rPr>
            </w:pPr>
            <w:r w:rsidRPr="00D52022">
              <w:rPr>
                <w:rFonts w:ascii="Verdana" w:hAnsi="Verdana" w:cs="Verdana"/>
              </w:rPr>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067ECB" w:rsidRPr="00D52022" w:rsidRDefault="00067ECB" w:rsidP="00067ECB">
            <w:pPr>
              <w:ind w:firstLine="426"/>
              <w:rPr>
                <w:rFonts w:ascii="Verdana" w:hAnsi="Verdana" w:cs="Verdana"/>
              </w:rPr>
            </w:pPr>
            <w:r w:rsidRPr="00D52022">
              <w:rPr>
                <w:rFonts w:ascii="Verdana" w:hAnsi="Verdana" w:cs="Verdana"/>
              </w:rPr>
              <w:t>Заявки на обмен инвестиционных паев могут направляться посредством почтовой связи заказным письмом</w:t>
            </w:r>
            <w:r w:rsidRPr="00D52022">
              <w:rPr>
                <w:lang w:eastAsia="zh-CN"/>
              </w:rPr>
              <w:t xml:space="preserve"> </w:t>
            </w:r>
            <w:r w:rsidRPr="00D52022">
              <w:rPr>
                <w:rFonts w:ascii="Verdana" w:hAnsi="Verdana" w:cs="Verdana"/>
                <w:lang w:eastAsia="zh-CN"/>
              </w:rPr>
              <w:t>с уведомлением о вручении</w:t>
            </w:r>
            <w:r w:rsidRPr="00D52022">
              <w:rPr>
                <w:rFonts w:ascii="Verdana" w:hAnsi="Verdana" w:cs="Verdana"/>
              </w:rPr>
              <w:t xml:space="preserve"> на адрес управляющей компании: 195220, Санкт-Петербург, проспект Непокоренных, дом 17, к.4, лит.В ЗАО «Центральная Управляющая Компания». При этом подпись на заявке должна быть удостоверена нотариально. </w:t>
            </w:r>
          </w:p>
          <w:p w:rsidR="00067ECB" w:rsidRPr="00D52022" w:rsidRDefault="00067ECB" w:rsidP="00067ECB">
            <w:pPr>
              <w:ind w:firstLine="426"/>
              <w:rPr>
                <w:rFonts w:ascii="Verdana" w:hAnsi="Verdana" w:cs="Verdana"/>
              </w:rPr>
            </w:pPr>
            <w:r w:rsidRPr="00D52022">
              <w:rPr>
                <w:rFonts w:ascii="Verdana" w:hAnsi="Verdana" w:cs="Verdana"/>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067ECB" w:rsidRPr="00D52022" w:rsidRDefault="00067ECB" w:rsidP="00067ECB">
            <w:pPr>
              <w:ind w:firstLine="426"/>
              <w:rPr>
                <w:rFonts w:ascii="Verdana" w:hAnsi="Verdana" w:cs="Verdana"/>
              </w:rPr>
            </w:pPr>
            <w:r w:rsidRPr="00D52022">
              <w:rPr>
                <w:rFonts w:ascii="Verdana" w:hAnsi="Verdana" w:cs="Verdana"/>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067ECB" w:rsidRPr="00D52022" w:rsidRDefault="00067ECB" w:rsidP="00067ECB">
            <w:pPr>
              <w:ind w:firstLine="426"/>
              <w:rPr>
                <w:rFonts w:ascii="Verdana" w:hAnsi="Verdana" w:cs="Verdana"/>
              </w:rPr>
            </w:pPr>
            <w:r w:rsidRPr="00D52022">
              <w:rPr>
                <w:rFonts w:ascii="Verdana" w:hAnsi="Verdana" w:cs="Verdana"/>
              </w:rPr>
              <w:t>Заявки на обмен инвестиционных паев, направленные электронной почтой, факсом или курьером, не принимаются.</w:t>
            </w:r>
          </w:p>
          <w:p w:rsidR="00067ECB" w:rsidRPr="00D52022" w:rsidRDefault="00067ECB" w:rsidP="00B366D1">
            <w:pPr>
              <w:ind w:firstLine="426"/>
              <w:rPr>
                <w:rFonts w:ascii="Verdana" w:hAnsi="Verdana" w:cs="Verdana"/>
              </w:rPr>
            </w:pPr>
          </w:p>
        </w:tc>
      </w:tr>
      <w:tr w:rsidR="004653CB" w:rsidRPr="00CF3829" w:rsidTr="004E533A">
        <w:tblPrEx>
          <w:tblCellMar>
            <w:top w:w="0" w:type="dxa"/>
            <w:bottom w:w="0" w:type="dxa"/>
          </w:tblCellMar>
        </w:tblPrEx>
        <w:tc>
          <w:tcPr>
            <w:tcW w:w="5211" w:type="dxa"/>
          </w:tcPr>
          <w:p w:rsidR="004653CB" w:rsidRPr="001F42B2" w:rsidRDefault="004653CB" w:rsidP="004653CB">
            <w:pPr>
              <w:ind w:firstLine="426"/>
              <w:rPr>
                <w:rFonts w:ascii="Verdana" w:hAnsi="Verdana" w:cs="Verdana"/>
              </w:rPr>
            </w:pPr>
            <w:r w:rsidRPr="001F42B2">
              <w:rPr>
                <w:rFonts w:ascii="Verdana" w:hAnsi="Verdana" w:cs="Verdana"/>
              </w:rPr>
              <w:t>101. За счет имущества, составляющего фонд, оплачиваются следующие расходы, связанные с доверительным управлением указанным имуществом:</w:t>
            </w:r>
          </w:p>
          <w:p w:rsidR="004653CB" w:rsidRPr="00421B2B" w:rsidRDefault="004653CB" w:rsidP="004653CB">
            <w:pPr>
              <w:ind w:firstLine="426"/>
              <w:rPr>
                <w:rFonts w:ascii="Verdana" w:hAnsi="Verdana" w:cs="Verdana"/>
              </w:rPr>
            </w:pPr>
            <w:r w:rsidRPr="00421B2B">
              <w:rPr>
                <w:rFonts w:ascii="Verdana" w:hAnsi="Verdana" w:cs="Verdana"/>
              </w:rPr>
              <w:t xml:space="preserve">оплата услуг организаций по совершению сделок за счет имущества </w:t>
            </w:r>
            <w:r>
              <w:rPr>
                <w:rFonts w:ascii="Verdana" w:hAnsi="Verdana" w:cs="Verdana"/>
              </w:rPr>
              <w:t>ф</w:t>
            </w:r>
            <w:r w:rsidRPr="00421B2B">
              <w:rPr>
                <w:rFonts w:ascii="Verdana" w:hAnsi="Verdana" w:cs="Verdana"/>
              </w:rPr>
              <w:t>онда от имени этих организаций или от имени управляющей компании, осуществляющей доверительное управление указанным имуществом;</w:t>
            </w:r>
          </w:p>
          <w:p w:rsidR="004653CB" w:rsidRPr="00421B2B" w:rsidRDefault="004653CB" w:rsidP="004653CB">
            <w:pPr>
              <w:ind w:firstLine="426"/>
              <w:rPr>
                <w:rFonts w:ascii="Verdana" w:hAnsi="Verdana" w:cs="Verdana"/>
              </w:rPr>
            </w:pPr>
            <w:r w:rsidRPr="00421B2B">
              <w:rPr>
                <w:rFonts w:ascii="Verdana" w:hAnsi="Verdana" w:cs="Verdana"/>
              </w:rPr>
              <w:t xml:space="preserve"> оплата услуг кредитных организаций по открытию отдельного банковского счета </w:t>
            </w:r>
            <w:r w:rsidRPr="00421B2B">
              <w:rPr>
                <w:rFonts w:ascii="Verdana" w:hAnsi="Verdana" w:cs="Verdana"/>
              </w:rPr>
              <w:lastRenderedPageBreak/>
              <w:t xml:space="preserve">(счетов), предназначенного для расчетов по операциям, связанным с доверительным управлением имуществом </w:t>
            </w:r>
            <w:r>
              <w:rPr>
                <w:rFonts w:ascii="Verdana" w:hAnsi="Verdana" w:cs="Verdana"/>
              </w:rPr>
              <w:t>ф</w:t>
            </w:r>
            <w:r w:rsidRPr="00421B2B">
              <w:rPr>
                <w:rFonts w:ascii="Verdana" w:hAnsi="Verdana" w:cs="Verdana"/>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653CB" w:rsidRPr="00881319" w:rsidRDefault="004653CB" w:rsidP="004653CB">
            <w:pPr>
              <w:ind w:firstLine="426"/>
              <w:rPr>
                <w:rFonts w:ascii="Verdana" w:hAnsi="Verdana" w:cs="Verdana"/>
              </w:rPr>
            </w:pPr>
            <w:r w:rsidRPr="00421B2B">
              <w:rPr>
                <w:rFonts w:ascii="Verdana" w:hAnsi="Verdana" w:cs="Verdana"/>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Pr>
                <w:rFonts w:ascii="Verdana" w:hAnsi="Verdana" w:cs="Verdana"/>
              </w:rPr>
              <w:t>ф</w:t>
            </w:r>
            <w:r w:rsidRPr="00421B2B">
              <w:rPr>
                <w:rFonts w:ascii="Verdana" w:hAnsi="Verdana" w:cs="Verdana"/>
              </w:rPr>
              <w:t xml:space="preserve">онда, а также расходы специализированного депозитария, связанные с операциями </w:t>
            </w:r>
            <w:r w:rsidRPr="00881319">
              <w:rPr>
                <w:rFonts w:ascii="Verdana" w:hAnsi="Verdana" w:cs="Verdana"/>
              </w:rPr>
              <w:t>по переходу прав на указанные ценные бумаги в системе ведения реестра владельцев ценных бумаг;</w:t>
            </w:r>
          </w:p>
          <w:p w:rsidR="004653CB" w:rsidRPr="00881319" w:rsidRDefault="004653CB" w:rsidP="004653CB">
            <w:pPr>
              <w:ind w:firstLine="720"/>
              <w:rPr>
                <w:rFonts w:ascii="Verdana" w:hAnsi="Verdana" w:cs="Verdana"/>
              </w:rPr>
            </w:pPr>
            <w:r w:rsidRPr="00881319">
              <w:rPr>
                <w:rFonts w:ascii="Verdana" w:hAnsi="Verdana" w:cs="Verdana"/>
              </w:rPr>
              <w:t>расходы по оплате услуг клиринговых организаций по определению взаимных обязательств по сделкам, совершенным с имуществом фонда;</w:t>
            </w:r>
          </w:p>
          <w:p w:rsidR="004653CB" w:rsidRPr="00881319" w:rsidRDefault="004653CB" w:rsidP="004653CB">
            <w:pPr>
              <w:ind w:firstLine="426"/>
              <w:rPr>
                <w:rFonts w:ascii="Verdana" w:hAnsi="Verdana" w:cs="Verdana"/>
              </w:rPr>
            </w:pPr>
            <w:r w:rsidRPr="00881319">
              <w:rPr>
                <w:rFonts w:ascii="Verdana" w:hAnsi="Verdana" w:cs="Verdana"/>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653CB" w:rsidRPr="00881319" w:rsidRDefault="004653CB" w:rsidP="004653CB">
            <w:pPr>
              <w:ind w:firstLine="720"/>
              <w:rPr>
                <w:rFonts w:ascii="Verdana" w:hAnsi="Verdana" w:cs="Verdana"/>
              </w:rPr>
            </w:pPr>
            <w:r w:rsidRPr="00881319">
              <w:rPr>
                <w:rFonts w:ascii="Verdana" w:hAnsi="Verdana" w:cs="Verdana"/>
              </w:rPr>
              <w:t>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rsidR="004653CB" w:rsidRPr="00421B2B" w:rsidRDefault="004653CB" w:rsidP="004653CB">
            <w:pPr>
              <w:ind w:firstLine="426"/>
              <w:rPr>
                <w:rFonts w:ascii="Verdana" w:hAnsi="Verdana" w:cs="Verdana"/>
              </w:rPr>
            </w:pPr>
            <w:r w:rsidRPr="00881319">
              <w:rPr>
                <w:rFonts w:ascii="Verdana" w:hAnsi="Verdana" w:cs="Verdana"/>
              </w:rPr>
              <w:t>расходы, возникшие в связи с участием управляющей</w:t>
            </w:r>
            <w:r w:rsidRPr="00421B2B">
              <w:rPr>
                <w:rFonts w:ascii="Verdana" w:hAnsi="Verdana" w:cs="Verdana"/>
              </w:rPr>
              <w:t xml:space="preserve">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w:t>
            </w:r>
            <w:r>
              <w:rPr>
                <w:rFonts w:ascii="Verdana" w:hAnsi="Verdana" w:cs="Verdana"/>
              </w:rPr>
              <w:t>ф</w:t>
            </w:r>
            <w:r w:rsidRPr="00421B2B">
              <w:rPr>
                <w:rFonts w:ascii="Verdana" w:hAnsi="Verdana" w:cs="Verdana"/>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Pr>
                <w:rFonts w:ascii="Verdana" w:hAnsi="Verdana" w:cs="Verdana"/>
              </w:rPr>
              <w:t>ф</w:t>
            </w:r>
            <w:r w:rsidRPr="00421B2B">
              <w:rPr>
                <w:rFonts w:ascii="Verdana" w:hAnsi="Verdana" w:cs="Verdana"/>
              </w:rPr>
              <w:t>онда;</w:t>
            </w:r>
          </w:p>
          <w:p w:rsidR="004653CB" w:rsidRPr="00D87DC0" w:rsidRDefault="004653CB" w:rsidP="004653CB">
            <w:pPr>
              <w:ind w:firstLine="426"/>
              <w:rPr>
                <w:rFonts w:ascii="Verdana" w:hAnsi="Verdana" w:cs="Verdana"/>
              </w:rPr>
            </w:pPr>
            <w:r w:rsidRPr="00421B2B">
              <w:rPr>
                <w:rFonts w:ascii="Verdana" w:hAnsi="Verdana" w:cs="Verdana"/>
              </w:rPr>
              <w:t xml:space="preserve">расходы, связанные с нотариальным свидетельствованием верности копии </w:t>
            </w:r>
            <w:r>
              <w:rPr>
                <w:rFonts w:ascii="Verdana" w:hAnsi="Verdana" w:cs="Verdana"/>
              </w:rPr>
              <w:t>П</w:t>
            </w:r>
            <w:r w:rsidRPr="00421B2B">
              <w:rPr>
                <w:rFonts w:ascii="Verdana" w:hAnsi="Verdana" w:cs="Verdana"/>
              </w:rPr>
              <w:t>равил фонд</w:t>
            </w:r>
            <w:r>
              <w:rPr>
                <w:rFonts w:ascii="Verdana" w:hAnsi="Verdana" w:cs="Verdana"/>
              </w:rPr>
              <w:t>а</w:t>
            </w:r>
            <w:r w:rsidRPr="00421B2B">
              <w:rPr>
                <w:rFonts w:ascii="Verdana" w:hAnsi="Verdana" w:cs="Verdana"/>
              </w:rPr>
              <w:t xml:space="preserve">, иных документов и подлинности подписи на документах, необходимых для осуществления доверительного управления имуществом </w:t>
            </w:r>
            <w:r>
              <w:rPr>
                <w:rFonts w:ascii="Verdana" w:hAnsi="Verdana" w:cs="Verdana"/>
              </w:rPr>
              <w:t>ф</w:t>
            </w:r>
            <w:r w:rsidRPr="00421B2B">
              <w:rPr>
                <w:rFonts w:ascii="Verdana" w:hAnsi="Verdana" w:cs="Verdana"/>
              </w:rPr>
              <w:t xml:space="preserve">онда, а также нотариальным удостоверением сделок с имуществом </w:t>
            </w:r>
            <w:r>
              <w:rPr>
                <w:rFonts w:ascii="Verdana" w:hAnsi="Verdana" w:cs="Verdana"/>
              </w:rPr>
              <w:t>ф</w:t>
            </w:r>
            <w:r w:rsidRPr="00421B2B">
              <w:rPr>
                <w:rFonts w:ascii="Verdana" w:hAnsi="Verdana" w:cs="Verdana"/>
              </w:rPr>
              <w:t xml:space="preserve">онда или сделок по приобретению имущества в состав </w:t>
            </w:r>
            <w:r>
              <w:rPr>
                <w:rFonts w:ascii="Verdana" w:hAnsi="Verdana" w:cs="Verdana"/>
              </w:rPr>
              <w:t>ф</w:t>
            </w:r>
            <w:r w:rsidRPr="00421B2B">
              <w:rPr>
                <w:rFonts w:ascii="Verdana" w:hAnsi="Verdana" w:cs="Verdana"/>
              </w:rPr>
              <w:t xml:space="preserve">онда, требующих такого удостоверения; </w:t>
            </w:r>
          </w:p>
          <w:p w:rsidR="004653CB" w:rsidRPr="00421B2B" w:rsidRDefault="004653CB" w:rsidP="004653CB">
            <w:pPr>
              <w:ind w:firstLine="426"/>
              <w:rPr>
                <w:rFonts w:ascii="Verdana" w:hAnsi="Verdana" w:cs="Verdana"/>
              </w:rPr>
            </w:pPr>
            <w:r w:rsidRPr="00421B2B">
              <w:rPr>
                <w:rFonts w:ascii="Verdana" w:hAnsi="Verdana" w:cs="Verdana"/>
              </w:rPr>
              <w:t xml:space="preserve">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w:t>
            </w:r>
            <w:r w:rsidRPr="00421B2B">
              <w:rPr>
                <w:rFonts w:ascii="Verdana" w:hAnsi="Verdana" w:cs="Verdana"/>
              </w:rPr>
              <w:lastRenderedPageBreak/>
              <w:t>допускаются.</w:t>
            </w:r>
          </w:p>
          <w:p w:rsidR="004653CB" w:rsidRPr="00421B2B" w:rsidRDefault="004653CB" w:rsidP="004653CB">
            <w:pPr>
              <w:ind w:firstLine="426"/>
              <w:rPr>
                <w:rFonts w:ascii="Verdana" w:hAnsi="Verdana" w:cs="Verdana"/>
              </w:rPr>
            </w:pPr>
            <w:bookmarkStart w:id="2" w:name="p_84"/>
            <w:bookmarkEnd w:id="2"/>
            <w:r w:rsidRPr="00421B2B">
              <w:rPr>
                <w:rFonts w:ascii="Verdana" w:hAnsi="Verdana" w:cs="Verdana"/>
              </w:rPr>
              <w:t xml:space="preserve">Максимальный размер расходов, подлежащих оплате за счет имущества, составляющего фонд, составляет </w:t>
            </w:r>
            <w:r>
              <w:rPr>
                <w:rFonts w:ascii="Verdana" w:hAnsi="Verdana" w:cs="Verdana"/>
                <w:lang w:eastAsia="en-US"/>
              </w:rPr>
              <w:t>1,5</w:t>
            </w:r>
            <w:r w:rsidRPr="00C6337D">
              <w:rPr>
                <w:rFonts w:ascii="Verdana" w:hAnsi="Verdana" w:cs="Verdana"/>
              </w:rPr>
              <w:t xml:space="preserve"> </w:t>
            </w:r>
            <w:r>
              <w:rPr>
                <w:rFonts w:ascii="Verdana" w:hAnsi="Verdana" w:cs="Verdana"/>
              </w:rPr>
              <w:t>(</w:t>
            </w:r>
            <w:r>
              <w:rPr>
                <w:rFonts w:ascii="Verdana" w:hAnsi="Verdana" w:cs="Verdana"/>
                <w:lang w:eastAsia="en-US"/>
              </w:rPr>
              <w:t>одну целую пять десятых</w:t>
            </w:r>
            <w:r w:rsidRPr="00C6337D">
              <w:rPr>
                <w:rFonts w:ascii="Verdana" w:hAnsi="Verdana" w:cs="Verdana"/>
                <w:lang w:eastAsia="en-US"/>
              </w:rPr>
              <w:t>)</w:t>
            </w:r>
            <w:r>
              <w:rPr>
                <w:rFonts w:ascii="Verdana" w:hAnsi="Verdana" w:cs="Verdana"/>
                <w:lang w:eastAsia="en-US"/>
              </w:rPr>
              <w:t xml:space="preserve"> </w:t>
            </w:r>
            <w:r w:rsidRPr="00421B2B">
              <w:rPr>
                <w:rFonts w:ascii="Verdana" w:hAnsi="Verdana" w:cs="Verdana"/>
              </w:rPr>
              <w:t>процент</w:t>
            </w:r>
            <w:r>
              <w:rPr>
                <w:rFonts w:ascii="Verdana" w:hAnsi="Verdana" w:cs="Verdana"/>
              </w:rPr>
              <w:t>а</w:t>
            </w:r>
            <w:r w:rsidRPr="00C6337D">
              <w:rPr>
                <w:rFonts w:ascii="Verdana" w:hAnsi="Verdana" w:cs="Verdana"/>
                <w:lang w:eastAsia="en-US"/>
              </w:rPr>
              <w:t xml:space="preserve"> </w:t>
            </w:r>
            <w:r w:rsidRPr="00421B2B">
              <w:rPr>
                <w:rFonts w:ascii="Verdana" w:hAnsi="Verdana" w:cs="Verdana"/>
              </w:rPr>
              <w:t>(с учетом НДС) 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4653CB" w:rsidRPr="00A03E3E" w:rsidRDefault="004653CB" w:rsidP="00067ECB">
            <w:pPr>
              <w:ind w:firstLine="426"/>
              <w:rPr>
                <w:rFonts w:ascii="Verdana" w:hAnsi="Verdana" w:cs="Verdana"/>
              </w:rPr>
            </w:pPr>
          </w:p>
        </w:tc>
        <w:tc>
          <w:tcPr>
            <w:tcW w:w="5211" w:type="dxa"/>
          </w:tcPr>
          <w:p w:rsidR="004653CB" w:rsidRPr="00D52022" w:rsidRDefault="004653CB" w:rsidP="004653CB">
            <w:pPr>
              <w:ind w:firstLine="426"/>
              <w:rPr>
                <w:rFonts w:ascii="Verdana" w:hAnsi="Verdana" w:cs="Verdana"/>
              </w:rPr>
            </w:pPr>
            <w:r w:rsidRPr="00672EE9">
              <w:rPr>
                <w:rFonts w:ascii="Verdana" w:hAnsi="Verdana" w:cs="Verdana"/>
              </w:rPr>
              <w:lastRenderedPageBreak/>
              <w:t>99</w:t>
            </w:r>
            <w:r w:rsidRPr="00D52022">
              <w:rPr>
                <w:rFonts w:ascii="Verdana" w:hAnsi="Verdana" w:cs="Verdana"/>
              </w:rPr>
              <w:t>. За счет имущества, составляющего фонд, оплачиваются следующие расходы, связанные с доверительным управлением указанным имуществом:</w:t>
            </w:r>
          </w:p>
          <w:p w:rsidR="004653CB" w:rsidRPr="00D52022" w:rsidRDefault="004653CB" w:rsidP="004653CB">
            <w:pPr>
              <w:ind w:firstLine="426"/>
              <w:rPr>
                <w:rFonts w:ascii="Verdana" w:hAnsi="Verdana" w:cs="Verdana"/>
              </w:rPr>
            </w:pPr>
            <w:r w:rsidRPr="00D52022">
              <w:rPr>
                <w:rFonts w:ascii="Verdana" w:hAnsi="Verdana" w:cs="Verdana"/>
              </w:rPr>
              <w:t>оплата услуг организаций по совершению сделок за счет имущества фонда от имени этих организаций или от имени управляющей компании, осуществляющей доверительное управление указанным имуществом;</w:t>
            </w:r>
          </w:p>
          <w:p w:rsidR="004653CB" w:rsidRPr="00D52022" w:rsidRDefault="004653CB" w:rsidP="004653CB">
            <w:pPr>
              <w:ind w:firstLine="426"/>
              <w:rPr>
                <w:rFonts w:ascii="Verdana" w:hAnsi="Verdana" w:cs="Verdana"/>
              </w:rPr>
            </w:pPr>
            <w:r w:rsidRPr="00D52022">
              <w:rPr>
                <w:rFonts w:ascii="Verdana" w:hAnsi="Verdana" w:cs="Verdana"/>
              </w:rPr>
              <w:t xml:space="preserve"> оплата услуг кредитных организаций по открытию отдельного банковского счета </w:t>
            </w:r>
            <w:r w:rsidRPr="00D52022">
              <w:rPr>
                <w:rFonts w:ascii="Verdana" w:hAnsi="Verdana" w:cs="Verdana"/>
              </w:rPr>
              <w:lastRenderedPageBreak/>
              <w:t>(счетов),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4653CB" w:rsidRPr="00D52022" w:rsidRDefault="004653CB" w:rsidP="004653CB">
            <w:pPr>
              <w:ind w:firstLine="426"/>
              <w:rPr>
                <w:rFonts w:ascii="Verdana" w:hAnsi="Verdana" w:cs="Verdana"/>
              </w:rPr>
            </w:pPr>
            <w:r w:rsidRPr="00D52022">
              <w:rPr>
                <w:rFonts w:ascii="Verdana" w:hAnsi="Verdana" w:cs="Verdana"/>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4653CB" w:rsidRPr="00D52022" w:rsidRDefault="004653CB" w:rsidP="004653CB">
            <w:pPr>
              <w:ind w:firstLine="720"/>
              <w:rPr>
                <w:rFonts w:ascii="Verdana" w:hAnsi="Verdana" w:cs="Verdana"/>
              </w:rPr>
            </w:pPr>
            <w:r w:rsidRPr="00D52022">
              <w:rPr>
                <w:rFonts w:ascii="Verdana" w:hAnsi="Verdana" w:cs="Verdana"/>
              </w:rPr>
              <w:t>расходы по оплате услуг клиринговых организаций по определению взаимных обязательств по сделкам, совершенным с имуществом фонда;</w:t>
            </w:r>
          </w:p>
          <w:p w:rsidR="004653CB" w:rsidRPr="00D52022" w:rsidRDefault="004653CB" w:rsidP="004653CB">
            <w:pPr>
              <w:ind w:firstLine="426"/>
              <w:rPr>
                <w:rFonts w:ascii="Verdana" w:hAnsi="Verdana" w:cs="Verdana"/>
              </w:rPr>
            </w:pPr>
            <w:r w:rsidRPr="00D52022">
              <w:rPr>
                <w:rFonts w:ascii="Verdana" w:hAnsi="Verdana" w:cs="Verdana"/>
              </w:rPr>
              <w:t>расходы, связанные с осуществлением прав, удостоверенных ценными бумагами, составляющими имущество фонда</w:t>
            </w:r>
            <w:r>
              <w:rPr>
                <w:rFonts w:ascii="Verdana" w:hAnsi="Verdana" w:cs="Verdana"/>
              </w:rPr>
              <w:t>;</w:t>
            </w:r>
          </w:p>
          <w:p w:rsidR="004653CB" w:rsidRPr="00D52022" w:rsidRDefault="004653CB" w:rsidP="004653CB">
            <w:pPr>
              <w:ind w:firstLine="720"/>
              <w:rPr>
                <w:rFonts w:ascii="Verdana" w:hAnsi="Verdana" w:cs="Verdana"/>
              </w:rPr>
            </w:pPr>
            <w:r w:rsidRPr="00D52022">
              <w:rPr>
                <w:rFonts w:ascii="Verdana" w:hAnsi="Verdana" w:cs="Verdana"/>
              </w:rPr>
              <w:t>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rsidR="004653CB" w:rsidRPr="00D52022" w:rsidRDefault="004653CB" w:rsidP="004653CB">
            <w:pPr>
              <w:ind w:firstLine="426"/>
              <w:rPr>
                <w:rFonts w:ascii="Verdana" w:hAnsi="Verdana" w:cs="Verdana"/>
              </w:rPr>
            </w:pPr>
            <w:r w:rsidRPr="00D52022">
              <w:rPr>
                <w:rFonts w:ascii="Verdana" w:hAnsi="Verdana" w:cs="Verdana"/>
              </w:rPr>
              <w:t>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4653CB" w:rsidRPr="00D52022" w:rsidRDefault="004653CB" w:rsidP="004653CB">
            <w:pPr>
              <w:ind w:firstLine="426"/>
              <w:rPr>
                <w:rFonts w:ascii="Verdana" w:hAnsi="Verdana" w:cs="Verdana"/>
              </w:rPr>
            </w:pPr>
            <w:r w:rsidRPr="00D52022">
              <w:rPr>
                <w:rFonts w:ascii="Verdana" w:hAnsi="Verdana" w:cs="Verdana"/>
              </w:rPr>
              <w:t xml:space="preserve">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 </w:t>
            </w:r>
          </w:p>
          <w:p w:rsidR="004653CB" w:rsidRPr="00D52022" w:rsidRDefault="004653CB" w:rsidP="004653CB">
            <w:pPr>
              <w:ind w:firstLine="426"/>
              <w:rPr>
                <w:rFonts w:ascii="Verdana" w:hAnsi="Verdana" w:cs="Verdana"/>
              </w:rPr>
            </w:pPr>
            <w:r w:rsidRPr="00D52022">
              <w:rPr>
                <w:rFonts w:ascii="Verdana" w:hAnsi="Verdana" w:cs="Verdana"/>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rsidR="004653CB" w:rsidRPr="00D52022" w:rsidRDefault="004653CB" w:rsidP="004653CB">
            <w:pPr>
              <w:ind w:firstLine="426"/>
              <w:rPr>
                <w:rFonts w:ascii="Verdana" w:hAnsi="Verdana" w:cs="Verdana"/>
              </w:rPr>
            </w:pPr>
            <w:r w:rsidRPr="00D52022">
              <w:rPr>
                <w:rFonts w:ascii="Verdana" w:hAnsi="Verdana" w:cs="Verdana"/>
              </w:rPr>
              <w:t xml:space="preserve">Максимальный размер расходов, подлежащих оплате за счет имущества, </w:t>
            </w:r>
            <w:r w:rsidRPr="00D52022">
              <w:rPr>
                <w:rFonts w:ascii="Verdana" w:hAnsi="Verdana" w:cs="Verdana"/>
              </w:rPr>
              <w:lastRenderedPageBreak/>
              <w:t xml:space="preserve">составляющего фонд, составляет </w:t>
            </w:r>
            <w:r w:rsidRPr="00D52022">
              <w:rPr>
                <w:rFonts w:ascii="Verdana" w:hAnsi="Verdana" w:cs="Verdana"/>
                <w:lang w:eastAsia="en-US"/>
              </w:rPr>
              <w:t>1,5</w:t>
            </w:r>
            <w:r w:rsidRPr="00D52022">
              <w:rPr>
                <w:rFonts w:ascii="Verdana" w:hAnsi="Verdana" w:cs="Verdana"/>
              </w:rPr>
              <w:t xml:space="preserve"> (</w:t>
            </w:r>
            <w:r w:rsidRPr="00D52022">
              <w:rPr>
                <w:rFonts w:ascii="Verdana" w:hAnsi="Verdana" w:cs="Verdana"/>
                <w:lang w:eastAsia="en-US"/>
              </w:rPr>
              <w:t xml:space="preserve">одну целую пять десятых) </w:t>
            </w:r>
            <w:r w:rsidRPr="00D52022">
              <w:rPr>
                <w:rFonts w:ascii="Verdana" w:hAnsi="Verdana" w:cs="Verdana"/>
              </w:rPr>
              <w:t>процента</w:t>
            </w:r>
            <w:r w:rsidRPr="00D52022">
              <w:rPr>
                <w:rFonts w:ascii="Verdana" w:hAnsi="Verdana" w:cs="Verdana"/>
                <w:lang w:eastAsia="en-US"/>
              </w:rPr>
              <w:t xml:space="preserve"> </w:t>
            </w:r>
            <w:r w:rsidRPr="00D52022">
              <w:rPr>
                <w:rFonts w:ascii="Verdana" w:hAnsi="Verdana" w:cs="Verdana"/>
              </w:rPr>
              <w:t>(с учетом НДС) среднегодовой стоимости чистых активов фонда, определяемой в порядке, установленном нормативными правовыми актами федерального органа исполнительной власти по рынку ценных бумаг.</w:t>
            </w:r>
          </w:p>
          <w:p w:rsidR="004653CB" w:rsidRPr="00D52022" w:rsidRDefault="004653CB" w:rsidP="00067ECB">
            <w:pPr>
              <w:ind w:firstLine="426"/>
              <w:rPr>
                <w:rFonts w:ascii="Verdana" w:hAnsi="Verdana" w:cs="Verdana"/>
              </w:rPr>
            </w:pPr>
          </w:p>
        </w:tc>
      </w:tr>
    </w:tbl>
    <w:p w:rsidR="0025607A" w:rsidRDefault="0025607A">
      <w:pPr>
        <w:rPr>
          <w:rFonts w:ascii="Verdana" w:hAnsi="Verdana" w:cs="Verdana"/>
          <w:sz w:val="18"/>
          <w:szCs w:val="18"/>
        </w:rPr>
      </w:pPr>
    </w:p>
    <w:p w:rsidR="009A2B34" w:rsidRDefault="009A2B34">
      <w:pPr>
        <w:rPr>
          <w:rFonts w:ascii="Verdana" w:hAnsi="Verdana" w:cs="Verdana"/>
          <w:sz w:val="18"/>
          <w:szCs w:val="18"/>
        </w:rPr>
      </w:pPr>
    </w:p>
    <w:p w:rsidR="00604F09" w:rsidRDefault="00604F09">
      <w:pPr>
        <w:rPr>
          <w:rFonts w:ascii="Verdana" w:hAnsi="Verdana" w:cs="Verdana"/>
          <w:sz w:val="18"/>
          <w:szCs w:val="18"/>
        </w:rPr>
      </w:pPr>
    </w:p>
    <w:p w:rsidR="00604F09" w:rsidRPr="007A1CE9" w:rsidRDefault="00604F09">
      <w:pPr>
        <w:rPr>
          <w:rFonts w:ascii="Verdana" w:hAnsi="Verdana" w:cs="Verdana"/>
          <w:sz w:val="18"/>
          <w:szCs w:val="18"/>
        </w:rPr>
      </w:pPr>
    </w:p>
    <w:p w:rsidR="003F753C" w:rsidRDefault="001E4EAB" w:rsidP="003F753C">
      <w:pPr>
        <w:spacing w:line="240" w:lineRule="atLeast"/>
        <w:rPr>
          <w:rFonts w:ascii="Verdana" w:hAnsi="Verdana" w:cs="Verdana"/>
          <w:b/>
          <w:bCs/>
        </w:rPr>
      </w:pPr>
      <w:r w:rsidRPr="003F753C">
        <w:rPr>
          <w:rFonts w:ascii="Verdana" w:hAnsi="Verdana" w:cs="Verdana"/>
          <w:b/>
          <w:bCs/>
        </w:rPr>
        <w:t>Генеральн</w:t>
      </w:r>
      <w:r w:rsidR="009C31F5" w:rsidRPr="003F753C">
        <w:rPr>
          <w:rFonts w:ascii="Verdana" w:hAnsi="Verdana" w:cs="Verdana"/>
          <w:b/>
          <w:bCs/>
        </w:rPr>
        <w:t>ый</w:t>
      </w:r>
      <w:r w:rsidR="0025607A" w:rsidRPr="003F753C">
        <w:rPr>
          <w:rFonts w:ascii="Verdana" w:hAnsi="Verdana" w:cs="Verdana"/>
          <w:b/>
          <w:bCs/>
        </w:rPr>
        <w:t xml:space="preserve"> директор</w:t>
      </w:r>
    </w:p>
    <w:p w:rsidR="0025607A" w:rsidRPr="003F753C" w:rsidRDefault="0025607A" w:rsidP="003F753C">
      <w:pPr>
        <w:spacing w:line="240" w:lineRule="atLeast"/>
        <w:rPr>
          <w:rFonts w:ascii="Verdana" w:hAnsi="Verdana" w:cs="Verdana"/>
          <w:b/>
          <w:bCs/>
        </w:rPr>
      </w:pPr>
      <w:r w:rsidRPr="003F753C">
        <w:rPr>
          <w:rFonts w:ascii="Verdana" w:hAnsi="Verdana" w:cs="Verdana"/>
          <w:b/>
          <w:bCs/>
        </w:rPr>
        <w:t>ЗАО “</w:t>
      </w:r>
      <w:r w:rsidR="009C31F5" w:rsidRPr="003F753C">
        <w:rPr>
          <w:rFonts w:ascii="Verdana" w:hAnsi="Verdana" w:cs="Verdana"/>
          <w:b/>
          <w:bCs/>
        </w:rPr>
        <w:t>Центральная Управляющая Компания</w:t>
      </w:r>
      <w:r w:rsidRPr="003F753C">
        <w:rPr>
          <w:rFonts w:ascii="Verdana" w:hAnsi="Verdana" w:cs="Verdana"/>
          <w:b/>
          <w:bCs/>
        </w:rPr>
        <w:t xml:space="preserve">”                   </w:t>
      </w:r>
      <w:r w:rsidR="009C31F5" w:rsidRPr="003F753C">
        <w:rPr>
          <w:rFonts w:ascii="Verdana" w:hAnsi="Verdana" w:cs="Verdana"/>
          <w:b/>
          <w:bCs/>
        </w:rPr>
        <w:t xml:space="preserve">                                      Д</w:t>
      </w:r>
      <w:r w:rsidRPr="003F753C">
        <w:rPr>
          <w:rFonts w:ascii="Verdana" w:hAnsi="Verdana" w:cs="Verdana"/>
          <w:b/>
          <w:bCs/>
        </w:rPr>
        <w:t>.</w:t>
      </w:r>
      <w:r w:rsidR="001E4EAB" w:rsidRPr="003F753C">
        <w:rPr>
          <w:rFonts w:ascii="Verdana" w:hAnsi="Verdana" w:cs="Verdana"/>
          <w:b/>
          <w:bCs/>
        </w:rPr>
        <w:t xml:space="preserve"> </w:t>
      </w:r>
      <w:r w:rsidRPr="003F753C">
        <w:rPr>
          <w:rFonts w:ascii="Verdana" w:hAnsi="Verdana" w:cs="Verdana"/>
          <w:b/>
          <w:bCs/>
        </w:rPr>
        <w:t>А.</w:t>
      </w:r>
      <w:r w:rsidR="001E4EAB" w:rsidRPr="003F753C">
        <w:rPr>
          <w:rFonts w:ascii="Verdana" w:hAnsi="Verdana" w:cs="Verdana"/>
          <w:b/>
          <w:bCs/>
        </w:rPr>
        <w:t xml:space="preserve"> </w:t>
      </w:r>
      <w:r w:rsidR="009C31F5" w:rsidRPr="003F753C">
        <w:rPr>
          <w:rFonts w:ascii="Verdana" w:hAnsi="Verdana" w:cs="Verdana"/>
          <w:b/>
          <w:bCs/>
        </w:rPr>
        <w:t>Галин</w:t>
      </w:r>
    </w:p>
    <w:sectPr w:rsidR="0025607A" w:rsidRPr="003F753C" w:rsidSect="003F753C">
      <w:footerReference w:type="default" r:id="rId8"/>
      <w:pgSz w:w="11906" w:h="16838"/>
      <w:pgMar w:top="709" w:right="566" w:bottom="56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D33" w:rsidRDefault="00B71D33" w:rsidP="00060D49">
      <w:r>
        <w:separator/>
      </w:r>
    </w:p>
  </w:endnote>
  <w:endnote w:type="continuationSeparator" w:id="0">
    <w:p w:rsidR="00B71D33" w:rsidRDefault="00B71D33" w:rsidP="00060D4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20002A87" w:usb1="00000000" w:usb2="00000000"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School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altName w:val="Arial"/>
    <w:panose1 w:val="020B0604020202020204"/>
    <w:charset w:val="CC"/>
    <w:family w:val="swiss"/>
    <w:pitch w:val="variable"/>
    <w:sig w:usb0="20002A87" w:usb1="00000000" w:usb2="00000000"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09" w:rsidRPr="009544CD" w:rsidRDefault="00604F09">
    <w:pPr>
      <w:pStyle w:val="a5"/>
      <w:framePr w:wrap="auto" w:vAnchor="text" w:hAnchor="margin" w:xAlign="right" w:y="1"/>
      <w:rPr>
        <w:rStyle w:val="a7"/>
        <w:rFonts w:ascii="Verdana" w:hAnsi="Verdana" w:cs="Verdana"/>
      </w:rPr>
    </w:pPr>
    <w:r w:rsidRPr="009544CD">
      <w:rPr>
        <w:rStyle w:val="a7"/>
        <w:rFonts w:ascii="Verdana" w:hAnsi="Verdana" w:cs="Verdana"/>
      </w:rPr>
      <w:fldChar w:fldCharType="begin"/>
    </w:r>
    <w:r w:rsidRPr="009544CD">
      <w:rPr>
        <w:rStyle w:val="a7"/>
        <w:rFonts w:ascii="Verdana" w:hAnsi="Verdana" w:cs="Verdana"/>
      </w:rPr>
      <w:instrText xml:space="preserve">PAGE  </w:instrText>
    </w:r>
    <w:r w:rsidRPr="009544CD">
      <w:rPr>
        <w:rStyle w:val="a7"/>
        <w:rFonts w:ascii="Verdana" w:hAnsi="Verdana" w:cs="Verdana"/>
      </w:rPr>
      <w:fldChar w:fldCharType="separate"/>
    </w:r>
    <w:r w:rsidR="00F023DF">
      <w:rPr>
        <w:rStyle w:val="a7"/>
        <w:rFonts w:ascii="Verdana" w:hAnsi="Verdana" w:cs="Verdana"/>
        <w:noProof/>
      </w:rPr>
      <w:t>11</w:t>
    </w:r>
    <w:r w:rsidRPr="009544CD">
      <w:rPr>
        <w:rStyle w:val="a7"/>
        <w:rFonts w:ascii="Verdana" w:hAnsi="Verdana" w:cs="Verdana"/>
      </w:rPr>
      <w:fldChar w:fldCharType="end"/>
    </w:r>
  </w:p>
  <w:p w:rsidR="00604F09" w:rsidRDefault="00604F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D33" w:rsidRDefault="00B71D33" w:rsidP="00060D49">
      <w:r>
        <w:separator/>
      </w:r>
    </w:p>
  </w:footnote>
  <w:footnote w:type="continuationSeparator" w:id="0">
    <w:p w:rsidR="00B71D33" w:rsidRDefault="00B71D33" w:rsidP="00060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6F41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674C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29F48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4F854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52E5A39"/>
    <w:multiLevelType w:val="hybridMultilevel"/>
    <w:tmpl w:val="F648C0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06C5596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0A2F5F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0B487E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EB31169"/>
    <w:multiLevelType w:val="hybridMultilevel"/>
    <w:tmpl w:val="4FCA7630"/>
    <w:lvl w:ilvl="0" w:tplc="12AEDEC2">
      <w:start w:val="1"/>
      <w:numFmt w:val="bullet"/>
      <w:lvlText w:val=""/>
      <w:lvlJc w:val="left"/>
      <w:pPr>
        <w:tabs>
          <w:tab w:val="num" w:pos="1146"/>
        </w:tabs>
        <w:ind w:left="1146" w:hanging="360"/>
      </w:pPr>
      <w:rPr>
        <w:rFonts w:ascii="Symbol" w:hAnsi="Symbol" w:hint="default"/>
      </w:rPr>
    </w:lvl>
    <w:lvl w:ilvl="1" w:tplc="04190019">
      <w:start w:val="1"/>
      <w:numFmt w:val="lowerLetter"/>
      <w:lvlText w:val="%2."/>
      <w:lvlJc w:val="left"/>
      <w:pPr>
        <w:tabs>
          <w:tab w:val="num" w:pos="1866"/>
        </w:tabs>
        <w:ind w:left="1866" w:hanging="360"/>
      </w:pPr>
      <w:rPr>
        <w:rFonts w:cs="Times New Roman"/>
      </w:rPr>
    </w:lvl>
    <w:lvl w:ilvl="2" w:tplc="0419001B">
      <w:start w:val="1"/>
      <w:numFmt w:val="lowerRoman"/>
      <w:lvlText w:val="%3."/>
      <w:lvlJc w:val="right"/>
      <w:pPr>
        <w:tabs>
          <w:tab w:val="num" w:pos="2586"/>
        </w:tabs>
        <w:ind w:left="2586" w:hanging="180"/>
      </w:pPr>
      <w:rPr>
        <w:rFonts w:cs="Times New Roman"/>
      </w:rPr>
    </w:lvl>
    <w:lvl w:ilvl="3" w:tplc="0419000F">
      <w:start w:val="1"/>
      <w:numFmt w:val="decimal"/>
      <w:lvlText w:val="%4."/>
      <w:lvlJc w:val="left"/>
      <w:pPr>
        <w:tabs>
          <w:tab w:val="num" w:pos="3306"/>
        </w:tabs>
        <w:ind w:left="3306" w:hanging="360"/>
      </w:pPr>
      <w:rPr>
        <w:rFonts w:cs="Times New Roman"/>
      </w:rPr>
    </w:lvl>
    <w:lvl w:ilvl="4" w:tplc="04190019">
      <w:start w:val="1"/>
      <w:numFmt w:val="lowerLetter"/>
      <w:lvlText w:val="%5."/>
      <w:lvlJc w:val="left"/>
      <w:pPr>
        <w:tabs>
          <w:tab w:val="num" w:pos="4026"/>
        </w:tabs>
        <w:ind w:left="4026" w:hanging="360"/>
      </w:pPr>
      <w:rPr>
        <w:rFonts w:cs="Times New Roman"/>
      </w:rPr>
    </w:lvl>
    <w:lvl w:ilvl="5" w:tplc="0419001B">
      <w:start w:val="1"/>
      <w:numFmt w:val="lowerRoman"/>
      <w:lvlText w:val="%6."/>
      <w:lvlJc w:val="right"/>
      <w:pPr>
        <w:tabs>
          <w:tab w:val="num" w:pos="4746"/>
        </w:tabs>
        <w:ind w:left="4746" w:hanging="180"/>
      </w:pPr>
      <w:rPr>
        <w:rFonts w:cs="Times New Roman"/>
      </w:rPr>
    </w:lvl>
    <w:lvl w:ilvl="6" w:tplc="0419000F">
      <w:start w:val="1"/>
      <w:numFmt w:val="decimal"/>
      <w:lvlText w:val="%7."/>
      <w:lvlJc w:val="left"/>
      <w:pPr>
        <w:tabs>
          <w:tab w:val="num" w:pos="5466"/>
        </w:tabs>
        <w:ind w:left="5466" w:hanging="360"/>
      </w:pPr>
      <w:rPr>
        <w:rFonts w:cs="Times New Roman"/>
      </w:rPr>
    </w:lvl>
    <w:lvl w:ilvl="7" w:tplc="04190019">
      <w:start w:val="1"/>
      <w:numFmt w:val="lowerLetter"/>
      <w:lvlText w:val="%8."/>
      <w:lvlJc w:val="left"/>
      <w:pPr>
        <w:tabs>
          <w:tab w:val="num" w:pos="6186"/>
        </w:tabs>
        <w:ind w:left="6186" w:hanging="360"/>
      </w:pPr>
      <w:rPr>
        <w:rFonts w:cs="Times New Roman"/>
      </w:rPr>
    </w:lvl>
    <w:lvl w:ilvl="8" w:tplc="0419001B">
      <w:start w:val="1"/>
      <w:numFmt w:val="lowerRoman"/>
      <w:lvlText w:val="%9."/>
      <w:lvlJc w:val="right"/>
      <w:pPr>
        <w:tabs>
          <w:tab w:val="num" w:pos="6906"/>
        </w:tabs>
        <w:ind w:left="6906" w:hanging="180"/>
      </w:pPr>
      <w:rPr>
        <w:rFonts w:cs="Times New Roman"/>
      </w:rPr>
    </w:lvl>
  </w:abstractNum>
  <w:abstractNum w:abstractNumId="10">
    <w:nsid w:val="121C5F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B9139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E362E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8F30F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3523AE2"/>
    <w:multiLevelType w:val="singleLevel"/>
    <w:tmpl w:val="31445E92"/>
    <w:lvl w:ilvl="0">
      <w:start w:val="1"/>
      <w:numFmt w:val="bullet"/>
      <w:lvlText w:val=""/>
      <w:lvlJc w:val="left"/>
      <w:pPr>
        <w:tabs>
          <w:tab w:val="num" w:pos="360"/>
        </w:tabs>
        <w:ind w:left="360" w:hanging="360"/>
      </w:pPr>
      <w:rPr>
        <w:rFonts w:ascii="Symbol" w:hAnsi="Symbol" w:hint="default"/>
        <w:color w:val="auto"/>
      </w:rPr>
    </w:lvl>
  </w:abstractNum>
  <w:abstractNum w:abstractNumId="15">
    <w:nsid w:val="263042C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8E17E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05B3C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1E313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F0D17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11A44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5F87E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4AA26A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DAC03EA"/>
    <w:multiLevelType w:val="hybridMultilevel"/>
    <w:tmpl w:val="9020C8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E3228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05807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18B1899"/>
    <w:multiLevelType w:val="hybridMultilevel"/>
    <w:tmpl w:val="A092AEA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531333FB"/>
    <w:multiLevelType w:val="singleLevel"/>
    <w:tmpl w:val="A09AAE8C"/>
    <w:lvl w:ilvl="0">
      <w:start w:val="47"/>
      <w:numFmt w:val="decimal"/>
      <w:lvlText w:val="%1."/>
      <w:lvlJc w:val="left"/>
      <w:pPr>
        <w:tabs>
          <w:tab w:val="num" w:pos="1414"/>
        </w:tabs>
        <w:ind w:left="1414" w:hanging="705"/>
      </w:pPr>
      <w:rPr>
        <w:rFonts w:cs="Times New Roman" w:hint="default"/>
        <w:b/>
        <w:bCs/>
        <w:color w:val="auto"/>
      </w:rPr>
    </w:lvl>
  </w:abstractNum>
  <w:abstractNum w:abstractNumId="28">
    <w:nsid w:val="61967C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68CF2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9C206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AD35D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6DC272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ED70D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F893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FA154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1EF39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748C70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4C747C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7514471B"/>
    <w:multiLevelType w:val="singleLevel"/>
    <w:tmpl w:val="941C7CA0"/>
    <w:lvl w:ilvl="0">
      <w:start w:val="1"/>
      <w:numFmt w:val="bullet"/>
      <w:pStyle w:val="BodyBul"/>
      <w:lvlText w:val=""/>
      <w:lvlJc w:val="left"/>
      <w:pPr>
        <w:tabs>
          <w:tab w:val="num" w:pos="360"/>
        </w:tabs>
        <w:ind w:left="360" w:hanging="360"/>
      </w:pPr>
      <w:rPr>
        <w:rFonts w:ascii="Symbol" w:hAnsi="Symbol" w:hint="default"/>
      </w:rPr>
    </w:lvl>
  </w:abstractNum>
  <w:abstractNum w:abstractNumId="40">
    <w:nsid w:val="7B41445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9"/>
  </w:num>
  <w:num w:numId="3">
    <w:abstractNumId w:val="21"/>
  </w:num>
  <w:num w:numId="4">
    <w:abstractNumId w:val="13"/>
  </w:num>
  <w:num w:numId="5">
    <w:abstractNumId w:val="15"/>
  </w:num>
  <w:num w:numId="6">
    <w:abstractNumId w:val="31"/>
  </w:num>
  <w:num w:numId="7">
    <w:abstractNumId w:val="6"/>
  </w:num>
  <w:num w:numId="8">
    <w:abstractNumId w:val="28"/>
  </w:num>
  <w:num w:numId="9">
    <w:abstractNumId w:val="7"/>
  </w:num>
  <w:num w:numId="10">
    <w:abstractNumId w:val="20"/>
  </w:num>
  <w:num w:numId="1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12">
    <w:abstractNumId w:val="16"/>
  </w:num>
  <w:num w:numId="13">
    <w:abstractNumId w:val="3"/>
  </w:num>
  <w:num w:numId="14">
    <w:abstractNumId w:val="27"/>
  </w:num>
  <w:num w:numId="15">
    <w:abstractNumId w:val="33"/>
  </w:num>
  <w:num w:numId="16">
    <w:abstractNumId w:val="25"/>
  </w:num>
  <w:num w:numId="17">
    <w:abstractNumId w:val="34"/>
  </w:num>
  <w:num w:numId="18">
    <w:abstractNumId w:val="17"/>
  </w:num>
  <w:num w:numId="19">
    <w:abstractNumId w:val="37"/>
  </w:num>
  <w:num w:numId="20">
    <w:abstractNumId w:val="32"/>
  </w:num>
  <w:num w:numId="21">
    <w:abstractNumId w:val="12"/>
  </w:num>
  <w:num w:numId="22">
    <w:abstractNumId w:val="38"/>
  </w:num>
  <w:num w:numId="23">
    <w:abstractNumId w:val="2"/>
  </w:num>
  <w:num w:numId="24">
    <w:abstractNumId w:val="10"/>
  </w:num>
  <w:num w:numId="25">
    <w:abstractNumId w:val="36"/>
  </w:num>
  <w:num w:numId="26">
    <w:abstractNumId w:val="19"/>
  </w:num>
  <w:num w:numId="27">
    <w:abstractNumId w:val="18"/>
  </w:num>
  <w:num w:numId="28">
    <w:abstractNumId w:val="1"/>
  </w:num>
  <w:num w:numId="29">
    <w:abstractNumId w:val="11"/>
  </w:num>
  <w:num w:numId="30">
    <w:abstractNumId w:val="30"/>
  </w:num>
  <w:num w:numId="31">
    <w:abstractNumId w:val="29"/>
  </w:num>
  <w:num w:numId="32">
    <w:abstractNumId w:val="4"/>
  </w:num>
  <w:num w:numId="33">
    <w:abstractNumId w:val="8"/>
  </w:num>
  <w:num w:numId="34">
    <w:abstractNumId w:val="35"/>
  </w:num>
  <w:num w:numId="35">
    <w:abstractNumId w:val="22"/>
  </w:num>
  <w:num w:numId="36">
    <w:abstractNumId w:val="40"/>
  </w:num>
  <w:num w:numId="37">
    <w:abstractNumId w:val="14"/>
  </w:num>
  <w:num w:numId="38">
    <w:abstractNumId w:val="23"/>
  </w:num>
  <w:num w:numId="39">
    <w:abstractNumId w:val="26"/>
  </w:num>
  <w:num w:numId="40">
    <w:abstractNumId w:val="0"/>
    <w:lvlOverride w:ilvl="0">
      <w:lvl w:ilvl="0">
        <w:numFmt w:val="bullet"/>
        <w:lvlText w:val=""/>
        <w:legacy w:legacy="1" w:legacySpace="0" w:legacyIndent="360"/>
        <w:lvlJc w:val="left"/>
        <w:rPr>
          <w:rFonts w:ascii="Symbol" w:hAnsi="Symbol" w:hint="default"/>
        </w:rPr>
      </w:lvl>
    </w:lvlOverride>
  </w:num>
  <w:num w:numId="41">
    <w:abstractNumId w:val="5"/>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2441"/>
    <w:rsid w:val="00032448"/>
    <w:rsid w:val="0005439E"/>
    <w:rsid w:val="00060D49"/>
    <w:rsid w:val="00061EFC"/>
    <w:rsid w:val="00067ECB"/>
    <w:rsid w:val="0007612B"/>
    <w:rsid w:val="000909AE"/>
    <w:rsid w:val="000935E9"/>
    <w:rsid w:val="000A35E6"/>
    <w:rsid w:val="000A36AB"/>
    <w:rsid w:val="000B062F"/>
    <w:rsid w:val="00100E15"/>
    <w:rsid w:val="001208ED"/>
    <w:rsid w:val="00122EFC"/>
    <w:rsid w:val="001350A7"/>
    <w:rsid w:val="0013614B"/>
    <w:rsid w:val="001477F4"/>
    <w:rsid w:val="00152AEF"/>
    <w:rsid w:val="00182DD0"/>
    <w:rsid w:val="00187979"/>
    <w:rsid w:val="001A48F0"/>
    <w:rsid w:val="001A4D90"/>
    <w:rsid w:val="001B249A"/>
    <w:rsid w:val="001D0064"/>
    <w:rsid w:val="001D0606"/>
    <w:rsid w:val="001E4EAB"/>
    <w:rsid w:val="001F42B2"/>
    <w:rsid w:val="001F5731"/>
    <w:rsid w:val="00207582"/>
    <w:rsid w:val="002210C5"/>
    <w:rsid w:val="002277BE"/>
    <w:rsid w:val="00241D16"/>
    <w:rsid w:val="0025607A"/>
    <w:rsid w:val="002765DB"/>
    <w:rsid w:val="00281408"/>
    <w:rsid w:val="002928DA"/>
    <w:rsid w:val="0029748E"/>
    <w:rsid w:val="0029776E"/>
    <w:rsid w:val="002B4039"/>
    <w:rsid w:val="002C5F07"/>
    <w:rsid w:val="002D7E28"/>
    <w:rsid w:val="002E1ECB"/>
    <w:rsid w:val="002F4209"/>
    <w:rsid w:val="002F673B"/>
    <w:rsid w:val="00303673"/>
    <w:rsid w:val="0031724B"/>
    <w:rsid w:val="00331618"/>
    <w:rsid w:val="00350CBA"/>
    <w:rsid w:val="00354E58"/>
    <w:rsid w:val="00367CA4"/>
    <w:rsid w:val="003B0EC1"/>
    <w:rsid w:val="003E5BB9"/>
    <w:rsid w:val="003F753C"/>
    <w:rsid w:val="004137F2"/>
    <w:rsid w:val="00421B2B"/>
    <w:rsid w:val="004421F9"/>
    <w:rsid w:val="004653CB"/>
    <w:rsid w:val="004724D1"/>
    <w:rsid w:val="0047259C"/>
    <w:rsid w:val="00482DD9"/>
    <w:rsid w:val="0048377D"/>
    <w:rsid w:val="00496BEC"/>
    <w:rsid w:val="004D217D"/>
    <w:rsid w:val="004D4747"/>
    <w:rsid w:val="004D68FB"/>
    <w:rsid w:val="004E0405"/>
    <w:rsid w:val="004E533A"/>
    <w:rsid w:val="004F0E00"/>
    <w:rsid w:val="00501B86"/>
    <w:rsid w:val="0050473D"/>
    <w:rsid w:val="00544025"/>
    <w:rsid w:val="005517E8"/>
    <w:rsid w:val="00557597"/>
    <w:rsid w:val="00581841"/>
    <w:rsid w:val="00587CCA"/>
    <w:rsid w:val="005C30F2"/>
    <w:rsid w:val="005D3D7F"/>
    <w:rsid w:val="005D3F5A"/>
    <w:rsid w:val="005E0D5E"/>
    <w:rsid w:val="005F4DDD"/>
    <w:rsid w:val="00604F09"/>
    <w:rsid w:val="00607618"/>
    <w:rsid w:val="00615614"/>
    <w:rsid w:val="00640CB0"/>
    <w:rsid w:val="00647E1E"/>
    <w:rsid w:val="00664EA2"/>
    <w:rsid w:val="00672A62"/>
    <w:rsid w:val="00672EE9"/>
    <w:rsid w:val="00675895"/>
    <w:rsid w:val="00676F42"/>
    <w:rsid w:val="006801D8"/>
    <w:rsid w:val="00686B04"/>
    <w:rsid w:val="00696FBB"/>
    <w:rsid w:val="006B2C85"/>
    <w:rsid w:val="006C229B"/>
    <w:rsid w:val="006C3740"/>
    <w:rsid w:val="006E3ECD"/>
    <w:rsid w:val="006F285C"/>
    <w:rsid w:val="006F4F0E"/>
    <w:rsid w:val="007063B5"/>
    <w:rsid w:val="00755FC7"/>
    <w:rsid w:val="00787DA0"/>
    <w:rsid w:val="007A1CE9"/>
    <w:rsid w:val="007B4570"/>
    <w:rsid w:val="007D6A55"/>
    <w:rsid w:val="007F3021"/>
    <w:rsid w:val="00802050"/>
    <w:rsid w:val="00821FDE"/>
    <w:rsid w:val="0082341A"/>
    <w:rsid w:val="0086084A"/>
    <w:rsid w:val="008614F7"/>
    <w:rsid w:val="00881319"/>
    <w:rsid w:val="00882FA5"/>
    <w:rsid w:val="00893150"/>
    <w:rsid w:val="008A0958"/>
    <w:rsid w:val="008A3AAE"/>
    <w:rsid w:val="008D63C3"/>
    <w:rsid w:val="008E3095"/>
    <w:rsid w:val="0090408E"/>
    <w:rsid w:val="00916EE9"/>
    <w:rsid w:val="009333D3"/>
    <w:rsid w:val="00934653"/>
    <w:rsid w:val="0094028A"/>
    <w:rsid w:val="0094273A"/>
    <w:rsid w:val="009476DE"/>
    <w:rsid w:val="009544CD"/>
    <w:rsid w:val="00962DA3"/>
    <w:rsid w:val="009632A9"/>
    <w:rsid w:val="0099087C"/>
    <w:rsid w:val="00994BD6"/>
    <w:rsid w:val="009A0691"/>
    <w:rsid w:val="009A2B34"/>
    <w:rsid w:val="009C31F5"/>
    <w:rsid w:val="009D0612"/>
    <w:rsid w:val="00A03E3E"/>
    <w:rsid w:val="00A05B62"/>
    <w:rsid w:val="00A13C77"/>
    <w:rsid w:val="00A20E3F"/>
    <w:rsid w:val="00A21CA2"/>
    <w:rsid w:val="00A67DFD"/>
    <w:rsid w:val="00A714A6"/>
    <w:rsid w:val="00A919D3"/>
    <w:rsid w:val="00A92630"/>
    <w:rsid w:val="00AA67D9"/>
    <w:rsid w:val="00AB5049"/>
    <w:rsid w:val="00AC3A1F"/>
    <w:rsid w:val="00AC70B3"/>
    <w:rsid w:val="00AC7E0C"/>
    <w:rsid w:val="00AD5813"/>
    <w:rsid w:val="00AF4B37"/>
    <w:rsid w:val="00AF5FDC"/>
    <w:rsid w:val="00B117E3"/>
    <w:rsid w:val="00B13BD2"/>
    <w:rsid w:val="00B17C02"/>
    <w:rsid w:val="00B250F3"/>
    <w:rsid w:val="00B366D1"/>
    <w:rsid w:val="00B507FA"/>
    <w:rsid w:val="00B53329"/>
    <w:rsid w:val="00B71D33"/>
    <w:rsid w:val="00B95A18"/>
    <w:rsid w:val="00BB2552"/>
    <w:rsid w:val="00BC0899"/>
    <w:rsid w:val="00BC3BA9"/>
    <w:rsid w:val="00BC7216"/>
    <w:rsid w:val="00BF4707"/>
    <w:rsid w:val="00C012A4"/>
    <w:rsid w:val="00C40F35"/>
    <w:rsid w:val="00C42A96"/>
    <w:rsid w:val="00C43F08"/>
    <w:rsid w:val="00C47FD5"/>
    <w:rsid w:val="00C60792"/>
    <w:rsid w:val="00C6337D"/>
    <w:rsid w:val="00C647DA"/>
    <w:rsid w:val="00C7082D"/>
    <w:rsid w:val="00C72D34"/>
    <w:rsid w:val="00C77314"/>
    <w:rsid w:val="00CA09AF"/>
    <w:rsid w:val="00CA0A1A"/>
    <w:rsid w:val="00CA6AE8"/>
    <w:rsid w:val="00CB00D9"/>
    <w:rsid w:val="00CD2C7A"/>
    <w:rsid w:val="00CF3829"/>
    <w:rsid w:val="00D07AB7"/>
    <w:rsid w:val="00D1722A"/>
    <w:rsid w:val="00D276FA"/>
    <w:rsid w:val="00D308C8"/>
    <w:rsid w:val="00D52022"/>
    <w:rsid w:val="00D556E2"/>
    <w:rsid w:val="00D642EC"/>
    <w:rsid w:val="00D6549B"/>
    <w:rsid w:val="00D70DCE"/>
    <w:rsid w:val="00D87DC0"/>
    <w:rsid w:val="00DA2B73"/>
    <w:rsid w:val="00DA60C7"/>
    <w:rsid w:val="00DA69E9"/>
    <w:rsid w:val="00DC24E2"/>
    <w:rsid w:val="00E03AD8"/>
    <w:rsid w:val="00E0505B"/>
    <w:rsid w:val="00E12689"/>
    <w:rsid w:val="00E13D14"/>
    <w:rsid w:val="00E22057"/>
    <w:rsid w:val="00E40EF5"/>
    <w:rsid w:val="00E506AB"/>
    <w:rsid w:val="00E52645"/>
    <w:rsid w:val="00E66102"/>
    <w:rsid w:val="00E66467"/>
    <w:rsid w:val="00EB486E"/>
    <w:rsid w:val="00EE51FE"/>
    <w:rsid w:val="00EF064F"/>
    <w:rsid w:val="00F023DF"/>
    <w:rsid w:val="00F02AA7"/>
    <w:rsid w:val="00F03970"/>
    <w:rsid w:val="00F22D8D"/>
    <w:rsid w:val="00F2654B"/>
    <w:rsid w:val="00F32AB7"/>
    <w:rsid w:val="00F43935"/>
    <w:rsid w:val="00F540A7"/>
    <w:rsid w:val="00F66EA0"/>
    <w:rsid w:val="00F96183"/>
    <w:rsid w:val="00FC6233"/>
    <w:rsid w:val="00FE11DC"/>
    <w:rsid w:val="00FE126C"/>
    <w:rsid w:val="00FE27D2"/>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line="360" w:lineRule="atLeast"/>
      <w:jc w:val="center"/>
      <w:outlineLvl w:val="0"/>
    </w:pPr>
    <w:rPr>
      <w:b/>
      <w:bCs/>
      <w:sz w:val="36"/>
      <w:szCs w:val="36"/>
    </w:rPr>
  </w:style>
  <w:style w:type="paragraph" w:styleId="2">
    <w:name w:val="heading 2"/>
    <w:basedOn w:val="a"/>
    <w:next w:val="a"/>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paragraph" w:customStyle="1" w:styleId="BodyNum">
    <w:name w:val="Body Num"/>
    <w:basedOn w:val="a"/>
    <w:uiPriority w:val="99"/>
    <w:pPr>
      <w:spacing w:after="120"/>
      <w:jc w:val="both"/>
    </w:pPr>
    <w:rPr>
      <w:sz w:val="24"/>
      <w:szCs w:val="24"/>
    </w:rPr>
  </w:style>
  <w:style w:type="paragraph" w:styleId="21">
    <w:name w:val="Body Text 2"/>
    <w:basedOn w:val="a"/>
    <w:link w:val="22"/>
    <w:uiPriority w:val="99"/>
    <w:rsid w:val="00B95A18"/>
    <w:pPr>
      <w:spacing w:after="120" w:line="480" w:lineRule="auto"/>
    </w:pPr>
  </w:style>
  <w:style w:type="character" w:customStyle="1" w:styleId="22">
    <w:name w:val="Основной текст 2 Знак"/>
    <w:basedOn w:val="a0"/>
    <w:link w:val="21"/>
    <w:uiPriority w:val="99"/>
    <w:semiHidden/>
    <w:locked/>
    <w:rPr>
      <w:rFonts w:cs="Times New Roman"/>
      <w:sz w:val="20"/>
      <w:szCs w:val="20"/>
    </w:rPr>
  </w:style>
  <w:style w:type="paragraph" w:customStyle="1" w:styleId="BodyBul">
    <w:name w:val="Body Bul"/>
    <w:basedOn w:val="a"/>
    <w:uiPriority w:val="99"/>
    <w:pPr>
      <w:numPr>
        <w:numId w:val="2"/>
      </w:numPr>
      <w:spacing w:after="120"/>
      <w:jc w:val="both"/>
    </w:pPr>
    <w:rPr>
      <w:sz w:val="24"/>
      <w:szCs w:val="24"/>
    </w:rPr>
  </w:style>
  <w:style w:type="paragraph" w:styleId="23">
    <w:name w:val="Body Text Indent 2"/>
    <w:basedOn w:val="a"/>
    <w:link w:val="24"/>
    <w:uiPriority w:val="99"/>
    <w:pPr>
      <w:spacing w:line="240" w:lineRule="atLeast"/>
      <w:ind w:firstLine="709"/>
    </w:pPr>
    <w:rPr>
      <w:sz w:val="22"/>
      <w:szCs w:val="22"/>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
    <w:name w:val="Body Text 3"/>
    <w:basedOn w:val="a"/>
    <w:link w:val="30"/>
    <w:uiPriority w:val="99"/>
    <w:rsid w:val="00F2654B"/>
    <w:pPr>
      <w:spacing w:after="120"/>
    </w:pPr>
    <w:rPr>
      <w:sz w:val="16"/>
      <w:szCs w:val="16"/>
    </w:rPr>
  </w:style>
  <w:style w:type="character" w:customStyle="1" w:styleId="30">
    <w:name w:val="Основной текст 3 Знак"/>
    <w:basedOn w:val="a0"/>
    <w:link w:val="3"/>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styleId="a3">
    <w:name w:val="Body Text"/>
    <w:basedOn w:val="a"/>
    <w:link w:val="a4"/>
    <w:uiPriority w:val="99"/>
    <w:pPr>
      <w:spacing w:line="240" w:lineRule="atLeast"/>
      <w:jc w:val="both"/>
    </w:pPr>
  </w:style>
  <w:style w:type="character" w:customStyle="1" w:styleId="a4">
    <w:name w:val="Основной текст Знак"/>
    <w:basedOn w:val="a0"/>
    <w:link w:val="a3"/>
    <w:uiPriority w:val="99"/>
    <w:semiHidden/>
    <w:locked/>
    <w:rPr>
      <w:rFonts w:cs="Times New Roman"/>
      <w:sz w:val="20"/>
      <w:szCs w:val="20"/>
    </w:rPr>
  </w:style>
  <w:style w:type="paragraph" w:styleId="31">
    <w:name w:val="Body Text Indent 3"/>
    <w:basedOn w:val="a"/>
    <w:link w:val="32"/>
    <w:uiPriority w:val="99"/>
    <w:rsid w:val="0099087C"/>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Pr>
      <w:rFonts w:cs="Times New Roman"/>
    </w:rPr>
  </w:style>
  <w:style w:type="character" w:customStyle="1" w:styleId="Blue">
    <w:name w:val="Blue"/>
    <w:basedOn w:val="a0"/>
    <w:uiPriority w:val="99"/>
    <w:rPr>
      <w:rFonts w:cs="Times New Roman"/>
      <w:color w:val="0000FF"/>
    </w:rPr>
  </w:style>
  <w:style w:type="character" w:customStyle="1" w:styleId="a8">
    <w:name w:val="Основной шрифт"/>
    <w:uiPriority w:val="99"/>
  </w:style>
  <w:style w:type="paragraph" w:styleId="a9">
    <w:name w:val="header"/>
    <w:basedOn w:val="a"/>
    <w:link w:val="aa"/>
    <w:uiPriority w:val="99"/>
    <w:rsid w:val="009544CD"/>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0"/>
      <w:szCs w:val="20"/>
    </w:rPr>
  </w:style>
  <w:style w:type="paragraph" w:styleId="ab">
    <w:name w:val="Title"/>
    <w:basedOn w:val="a"/>
    <w:link w:val="ac"/>
    <w:uiPriority w:val="99"/>
    <w:qFormat/>
    <w:rsid w:val="001477F4"/>
    <w:pPr>
      <w:autoSpaceDE w:val="0"/>
      <w:autoSpaceDN w:val="0"/>
      <w:spacing w:line="280" w:lineRule="exact"/>
      <w:ind w:firstLine="288"/>
      <w:jc w:val="center"/>
    </w:pPr>
    <w:rPr>
      <w:rFonts w:ascii="Arial" w:hAnsi="Arial" w:cs="Arial"/>
      <w:sz w:val="24"/>
      <w:szCs w:val="24"/>
    </w:rPr>
  </w:style>
  <w:style w:type="character" w:customStyle="1" w:styleId="ac">
    <w:name w:val="Название Знак"/>
    <w:basedOn w:val="a0"/>
    <w:link w:val="ab"/>
    <w:uiPriority w:val="10"/>
    <w:locked/>
    <w:rPr>
      <w:rFonts w:asciiTheme="majorHAnsi" w:eastAsiaTheme="majorEastAsia" w:hAnsiTheme="majorHAnsi" w:cstheme="majorBidi"/>
      <w:b/>
      <w:bCs/>
      <w:kern w:val="28"/>
      <w:sz w:val="32"/>
      <w:szCs w:val="32"/>
    </w:rPr>
  </w:style>
  <w:style w:type="paragraph" w:customStyle="1" w:styleId="prg3">
    <w:name w:val="prg3"/>
    <w:basedOn w:val="a"/>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paragraph" w:styleId="ad">
    <w:name w:val="Normal Indent"/>
    <w:basedOn w:val="a"/>
    <w:uiPriority w:val="99"/>
    <w:rsid w:val="001477F4"/>
    <w:pPr>
      <w:tabs>
        <w:tab w:val="num" w:pos="2232"/>
      </w:tabs>
      <w:autoSpaceDE w:val="0"/>
      <w:autoSpaceDN w:val="0"/>
      <w:ind w:left="2232" w:hanging="792"/>
    </w:pPr>
    <w:rPr>
      <w:lang w:val="en-US"/>
    </w:rPr>
  </w:style>
  <w:style w:type="paragraph" w:customStyle="1" w:styleId="Caaieiaieaieoiaioa">
    <w:name w:val="Caaieiaie aieoiaioa"/>
    <w:basedOn w:val="a"/>
    <w:uiPriority w:val="99"/>
    <w:rsid w:val="00367CA4"/>
    <w:pPr>
      <w:spacing w:line="100" w:lineRule="atLeast"/>
      <w:jc w:val="center"/>
    </w:pPr>
    <w:rPr>
      <w:b/>
      <w:bCs/>
      <w:sz w:val="28"/>
      <w:szCs w:val="28"/>
      <w:lang w:eastAsia="en-US"/>
    </w:rPr>
  </w:style>
  <w:style w:type="paragraph" w:customStyle="1" w:styleId="ConsNormal">
    <w:name w:val="ConsNormal"/>
    <w:uiPriority w:val="99"/>
    <w:rsid w:val="00303673"/>
    <w:pPr>
      <w:widowControl w:val="0"/>
      <w:spacing w:after="0" w:line="240" w:lineRule="auto"/>
      <w:ind w:firstLine="720"/>
    </w:pPr>
    <w:rPr>
      <w:rFonts w:ascii="Arial" w:hAnsi="Arial" w:cs="Arial"/>
      <w:sz w:val="20"/>
      <w:szCs w:val="20"/>
      <w:lang w:eastAsia="en-US"/>
    </w:rPr>
  </w:style>
  <w:style w:type="paragraph" w:styleId="ae">
    <w:name w:val="Balloon Text"/>
    <w:basedOn w:val="a"/>
    <w:link w:val="af"/>
    <w:uiPriority w:val="99"/>
    <w:semiHidden/>
    <w:rsid w:val="00604F09"/>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paragraph" w:customStyle="1" w:styleId="CharChar">
    <w:name w:val="Char Char"/>
    <w:basedOn w:val="a"/>
    <w:rsid w:val="001A4D90"/>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9041C93788FC7B4293877AA1D1FDF4E4" ma:contentTypeVersion="25" ma:contentTypeDescription="Создание документа." ma:contentTypeScope="" ma:versionID="14377b36da6150f623f42de7f184f609">
  <xsd:schema xmlns:xsd="http://www.w3.org/2001/XMLSchema" xmlns:xs="http://www.w3.org/2001/XMLSchema" xmlns:p="http://schemas.microsoft.com/office/2006/metadata/properties" xmlns:ns2="a1d7872c-6126-4a32-b4d6-b4aed00f16be" targetNamespace="http://schemas.microsoft.com/office/2006/metadata/properties" ma:root="true" ma:fieldsID="07c3016bdffe98db55e1bc737ef7366f" ns2:_="">
    <xsd:import namespace="a1d7872c-6126-4a32-b4d6-b4aed00f16be"/>
    <xsd:element name="properties">
      <xsd:complexType>
        <xsd:sequence>
          <xsd:element name="documentManagement">
            <xsd:complexType>
              <xsd:all>
                <xsd:element ref="ns2:Статус_x0020_документ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nillable="true"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ma:readOnly="false">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Частично действующая редакция</Статус_x0020_документа>
  </documentManagement>
</p:properties>
</file>

<file path=customXml/itemProps1.xml><?xml version="1.0" encoding="utf-8"?>
<ds:datastoreItem xmlns:ds="http://schemas.openxmlformats.org/officeDocument/2006/customXml" ds:itemID="{867F69C5-33AD-4CD2-8866-6335E30EEFDF}"/>
</file>

<file path=customXml/itemProps2.xml><?xml version="1.0" encoding="utf-8"?>
<ds:datastoreItem xmlns:ds="http://schemas.openxmlformats.org/officeDocument/2006/customXml" ds:itemID="{9EE01410-F709-4BDB-BFF8-0C5B7D68F447}"/>
</file>

<file path=customXml/itemProps3.xml><?xml version="1.0" encoding="utf-8"?>
<ds:datastoreItem xmlns:ds="http://schemas.openxmlformats.org/officeDocument/2006/customXml" ds:itemID="{58D3A8F4-CCDF-4561-84DD-D514C96C2EB5}"/>
</file>

<file path=customXml/itemProps4.xml><?xml version="1.0" encoding="utf-8"?>
<ds:datastoreItem xmlns:ds="http://schemas.openxmlformats.org/officeDocument/2006/customXml" ds:itemID="{DD3452B0-2D1C-4984-AAE3-46EFFB9ECD32}"/>
</file>

<file path=docProps/app.xml><?xml version="1.0" encoding="utf-8"?>
<Properties xmlns="http://schemas.openxmlformats.org/officeDocument/2006/extended-properties" xmlns:vt="http://schemas.openxmlformats.org/officeDocument/2006/docPropsVTypes">
  <Template>Normal.dotm</Template>
  <TotalTime>0</TotalTime>
  <Pages>11</Pages>
  <Words>4976</Words>
  <Characters>28365</Characters>
  <Application>Microsoft Office Word</Application>
  <DocSecurity>0</DocSecurity>
  <Lines>236</Lines>
  <Paragraphs>66</Paragraphs>
  <ScaleCrop>false</ScaleCrop>
  <Company>LSM</Company>
  <LinksUpToDate>false</LinksUpToDate>
  <CharactersWithSpaces>33275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доверительного управления </dc:title>
  <dc:subject/>
  <dc:creator>YS</dc:creator>
  <cp:keywords/>
  <dc:description/>
  <cp:lastModifiedBy>antonova</cp:lastModifiedBy>
  <cp:revision>2</cp:revision>
  <cp:lastPrinted>2005-11-14T12:54:00Z</cp:lastPrinted>
  <dcterms:created xsi:type="dcterms:W3CDTF">2011-12-01T09:42:00Z</dcterms:created>
  <dcterms:modified xsi:type="dcterms:W3CDTF">2011-12-01T09:42:00Z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0x0101009041C93788FC7B4293877AA1D1FDF4E4</vt:lpwstr>
  </property>
</Properties>
</file>