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12" w:rsidRDefault="000A3087" w:rsidP="00F44212">
      <w:pPr>
        <w:ind w:left="7080"/>
        <w:jc w:val="right"/>
        <w:rPr>
          <w:b/>
          <w:bCs/>
          <w:sz w:val="22"/>
          <w:szCs w:val="22"/>
        </w:rPr>
      </w:pPr>
      <w:r>
        <w:rPr>
          <w:b/>
          <w:bCs/>
          <w:sz w:val="22"/>
          <w:szCs w:val="22"/>
        </w:rPr>
        <w:t>УТВЕРЖДЕНЫ</w:t>
      </w:r>
    </w:p>
    <w:p w:rsidR="00F44212" w:rsidRDefault="00F44212" w:rsidP="00F44212">
      <w:pPr>
        <w:ind w:left="4248" w:firstLine="708"/>
        <w:jc w:val="right"/>
        <w:rPr>
          <w:b/>
          <w:bCs/>
          <w:sz w:val="22"/>
          <w:szCs w:val="22"/>
        </w:rPr>
      </w:pPr>
      <w:r>
        <w:rPr>
          <w:b/>
          <w:bCs/>
          <w:sz w:val="22"/>
          <w:szCs w:val="22"/>
        </w:rPr>
        <w:t xml:space="preserve">         Приказом генерального директора</w:t>
      </w:r>
    </w:p>
    <w:p w:rsidR="00F44212" w:rsidRDefault="00F44212" w:rsidP="00F44212">
      <w:pPr>
        <w:ind w:left="4248"/>
        <w:jc w:val="right"/>
        <w:rPr>
          <w:b/>
          <w:bCs/>
          <w:sz w:val="22"/>
          <w:szCs w:val="22"/>
        </w:rPr>
      </w:pPr>
      <w:r>
        <w:rPr>
          <w:b/>
          <w:bCs/>
          <w:sz w:val="22"/>
          <w:szCs w:val="22"/>
        </w:rPr>
        <w:t xml:space="preserve">                                          ООО «БСПБ Капитал»</w:t>
      </w:r>
    </w:p>
    <w:p w:rsidR="00F44212" w:rsidRDefault="00F44212" w:rsidP="00F44212">
      <w:pPr>
        <w:ind w:left="4956" w:right="-142"/>
        <w:rPr>
          <w:b/>
          <w:bCs/>
        </w:rPr>
      </w:pPr>
      <w:r>
        <w:rPr>
          <w:b/>
          <w:bCs/>
          <w:sz w:val="22"/>
          <w:szCs w:val="22"/>
        </w:rPr>
        <w:t xml:space="preserve">                    </w:t>
      </w:r>
      <w:r w:rsidR="000F0626">
        <w:rPr>
          <w:b/>
          <w:bCs/>
          <w:sz w:val="22"/>
          <w:szCs w:val="22"/>
        </w:rPr>
        <w:t xml:space="preserve">   </w:t>
      </w:r>
      <w:r>
        <w:rPr>
          <w:b/>
          <w:bCs/>
          <w:sz w:val="22"/>
          <w:szCs w:val="22"/>
        </w:rPr>
        <w:t>№ 1-</w:t>
      </w:r>
      <w:r w:rsidR="00E4192F">
        <w:rPr>
          <w:b/>
          <w:bCs/>
          <w:sz w:val="22"/>
          <w:szCs w:val="22"/>
        </w:rPr>
        <w:t>1-2019/91</w:t>
      </w:r>
      <w:r>
        <w:rPr>
          <w:b/>
          <w:bCs/>
          <w:sz w:val="22"/>
          <w:szCs w:val="22"/>
        </w:rPr>
        <w:t xml:space="preserve"> от «</w:t>
      </w:r>
      <w:r w:rsidR="000F0626">
        <w:rPr>
          <w:b/>
          <w:bCs/>
          <w:sz w:val="22"/>
          <w:szCs w:val="22"/>
        </w:rPr>
        <w:t>1</w:t>
      </w:r>
      <w:r w:rsidR="00E4192F">
        <w:rPr>
          <w:b/>
          <w:bCs/>
          <w:sz w:val="22"/>
          <w:szCs w:val="22"/>
        </w:rPr>
        <w:t>5</w:t>
      </w:r>
      <w:r>
        <w:rPr>
          <w:b/>
          <w:bCs/>
          <w:sz w:val="22"/>
          <w:szCs w:val="22"/>
        </w:rPr>
        <w:t xml:space="preserve">» </w:t>
      </w:r>
      <w:r w:rsidR="000A3087">
        <w:rPr>
          <w:b/>
          <w:bCs/>
          <w:sz w:val="22"/>
          <w:szCs w:val="22"/>
        </w:rPr>
        <w:t>ноября</w:t>
      </w:r>
      <w:r>
        <w:rPr>
          <w:b/>
          <w:bCs/>
          <w:sz w:val="22"/>
          <w:szCs w:val="22"/>
        </w:rPr>
        <w:t xml:space="preserve"> 2019 г.</w:t>
      </w:r>
    </w:p>
    <w:p w:rsidR="00004D8D" w:rsidRDefault="00004D8D" w:rsidP="0065640B">
      <w:pPr>
        <w:jc w:val="center"/>
        <w:rPr>
          <w:b/>
        </w:rPr>
      </w:pPr>
    </w:p>
    <w:p w:rsidR="00004D8D" w:rsidRDefault="00004D8D" w:rsidP="0065640B">
      <w:pPr>
        <w:jc w:val="center"/>
        <w:rPr>
          <w:b/>
        </w:rPr>
      </w:pPr>
    </w:p>
    <w:p w:rsidR="008A5675" w:rsidRDefault="008A5675" w:rsidP="0065640B">
      <w:pPr>
        <w:jc w:val="center"/>
        <w:rPr>
          <w:b/>
        </w:rPr>
      </w:pPr>
    </w:p>
    <w:p w:rsidR="00A07717" w:rsidRPr="00BB1768" w:rsidRDefault="0078315C" w:rsidP="00247B32">
      <w:pPr>
        <w:jc w:val="center"/>
        <w:rPr>
          <w:b/>
          <w:sz w:val="28"/>
          <w:szCs w:val="28"/>
        </w:rPr>
      </w:pPr>
      <w:r w:rsidRPr="00A07717">
        <w:rPr>
          <w:b/>
          <w:sz w:val="28"/>
          <w:szCs w:val="28"/>
        </w:rPr>
        <w:t xml:space="preserve">Изменения и </w:t>
      </w:r>
      <w:r w:rsidR="00A07717" w:rsidRPr="00A07717">
        <w:rPr>
          <w:b/>
          <w:sz w:val="28"/>
          <w:szCs w:val="28"/>
        </w:rPr>
        <w:t>дополнения</w:t>
      </w:r>
      <w:r w:rsidR="00CC3B10">
        <w:rPr>
          <w:b/>
          <w:sz w:val="28"/>
          <w:szCs w:val="28"/>
        </w:rPr>
        <w:t xml:space="preserve"> № </w:t>
      </w:r>
      <w:r w:rsidR="00255282">
        <w:rPr>
          <w:b/>
          <w:sz w:val="28"/>
          <w:szCs w:val="28"/>
        </w:rPr>
        <w:t>2</w:t>
      </w:r>
      <w:r w:rsidR="000A3087">
        <w:rPr>
          <w:b/>
          <w:sz w:val="28"/>
          <w:szCs w:val="28"/>
        </w:rPr>
        <w:t>4</w:t>
      </w:r>
    </w:p>
    <w:p w:rsidR="00292A3A" w:rsidRPr="00A07717" w:rsidRDefault="00CC3B10" w:rsidP="00A07717">
      <w:pPr>
        <w:jc w:val="center"/>
        <w:rPr>
          <w:b/>
          <w:sz w:val="28"/>
          <w:szCs w:val="28"/>
        </w:rPr>
      </w:pPr>
      <w:r>
        <w:rPr>
          <w:b/>
          <w:sz w:val="28"/>
          <w:szCs w:val="28"/>
        </w:rPr>
        <w:t>в</w:t>
      </w:r>
      <w:r w:rsidR="00A07717" w:rsidRPr="00A07717">
        <w:rPr>
          <w:b/>
          <w:sz w:val="28"/>
          <w:szCs w:val="28"/>
        </w:rPr>
        <w:t xml:space="preserve"> </w:t>
      </w:r>
      <w:r w:rsidR="00292A3A" w:rsidRPr="0078315C">
        <w:rPr>
          <w:b/>
          <w:sz w:val="28"/>
          <w:szCs w:val="28"/>
          <w:lang w:eastAsia="en-US"/>
        </w:rPr>
        <w:t xml:space="preserve">Правила доверительного управления </w:t>
      </w:r>
    </w:p>
    <w:p w:rsidR="00D85FB0" w:rsidRPr="000A6AA7" w:rsidRDefault="00D85FB0" w:rsidP="00D85FB0">
      <w:pPr>
        <w:spacing w:line="240" w:lineRule="atLeast"/>
        <w:ind w:firstLine="567"/>
        <w:jc w:val="center"/>
        <w:rPr>
          <w:rFonts w:cs="Times New Roman CYR"/>
          <w:b/>
          <w:bCs/>
          <w:sz w:val="28"/>
          <w:szCs w:val="28"/>
        </w:rPr>
      </w:pPr>
      <w:r w:rsidRPr="000A6AA7">
        <w:rPr>
          <w:rFonts w:cs="Times New Roman CYR"/>
          <w:b/>
          <w:bCs/>
          <w:sz w:val="28"/>
          <w:szCs w:val="28"/>
        </w:rPr>
        <w:t xml:space="preserve">Открытым паевым инвестиционным фондом </w:t>
      </w:r>
    </w:p>
    <w:p w:rsidR="00D85FB0" w:rsidRPr="000A6AA7" w:rsidRDefault="00D85FB0" w:rsidP="00D85FB0">
      <w:pPr>
        <w:spacing w:line="240" w:lineRule="atLeast"/>
        <w:ind w:firstLine="567"/>
        <w:jc w:val="center"/>
        <w:rPr>
          <w:rFonts w:cs="Times New Roman CYR"/>
          <w:b/>
          <w:bCs/>
          <w:sz w:val="28"/>
          <w:szCs w:val="28"/>
        </w:rPr>
      </w:pPr>
      <w:r w:rsidRPr="000A6AA7">
        <w:rPr>
          <w:rFonts w:cs="Times New Roman CYR"/>
          <w:b/>
          <w:bCs/>
          <w:sz w:val="28"/>
          <w:szCs w:val="28"/>
        </w:rPr>
        <w:t>рыночных финансовых инструментов</w:t>
      </w:r>
    </w:p>
    <w:p w:rsidR="00D85FB0" w:rsidRDefault="00D85FB0" w:rsidP="00D85FB0">
      <w:pPr>
        <w:spacing w:line="240" w:lineRule="atLeast"/>
        <w:ind w:firstLine="567"/>
        <w:jc w:val="center"/>
        <w:rPr>
          <w:rFonts w:cs="Times New Roman CYR"/>
          <w:b/>
          <w:bCs/>
          <w:sz w:val="28"/>
          <w:szCs w:val="28"/>
        </w:rPr>
      </w:pPr>
      <w:r w:rsidRPr="000A6AA7">
        <w:rPr>
          <w:rFonts w:cs="Times New Roman CYR"/>
          <w:b/>
          <w:bCs/>
          <w:sz w:val="28"/>
          <w:szCs w:val="28"/>
        </w:rPr>
        <w:t>«</w:t>
      </w:r>
      <w:r w:rsidRPr="000A6AA7">
        <w:rPr>
          <w:b/>
          <w:sz w:val="28"/>
          <w:szCs w:val="28"/>
        </w:rPr>
        <w:t>БСПБ - Глобальный</w:t>
      </w:r>
      <w:r w:rsidRPr="000A6AA7">
        <w:rPr>
          <w:rFonts w:cs="Times New Roman CYR"/>
          <w:b/>
          <w:bCs/>
          <w:sz w:val="28"/>
          <w:szCs w:val="28"/>
        </w:rPr>
        <w:t>»</w:t>
      </w:r>
    </w:p>
    <w:p w:rsidR="00A07717" w:rsidRPr="00E5567B" w:rsidRDefault="00D85FB0" w:rsidP="00B4203C">
      <w:pPr>
        <w:pStyle w:val="a4"/>
        <w:spacing w:after="240"/>
        <w:ind w:firstLine="284"/>
        <w:rPr>
          <w:rFonts w:ascii="Times New Roman" w:hAnsi="Times New Roman" w:cs="Times New Roman"/>
        </w:rPr>
      </w:pPr>
      <w:r w:rsidRPr="00E5567B">
        <w:rPr>
          <w:rFonts w:ascii="Times New Roman" w:hAnsi="Times New Roman" w:cs="Times New Roman"/>
        </w:rPr>
        <w:t xml:space="preserve">  (Правила </w:t>
      </w:r>
      <w:r w:rsidR="00D150ED" w:rsidRPr="00E5567B">
        <w:rPr>
          <w:rFonts w:ascii="Times New Roman" w:hAnsi="Times New Roman" w:cs="Times New Roman"/>
        </w:rPr>
        <w:t xml:space="preserve">доверительного управления фондом зарегистрированы ФСФР России </w:t>
      </w:r>
      <w:r w:rsidR="00A40E09" w:rsidRPr="00E5567B">
        <w:rPr>
          <w:rFonts w:ascii="Times New Roman" w:hAnsi="Times New Roman" w:cs="Times New Roman"/>
        </w:rPr>
        <w:t xml:space="preserve">                                    </w:t>
      </w:r>
      <w:r w:rsidR="00D150ED" w:rsidRPr="00E5567B">
        <w:rPr>
          <w:rFonts w:ascii="Times New Roman" w:hAnsi="Times New Roman" w:cs="Times New Roman"/>
        </w:rPr>
        <w:t xml:space="preserve">за № 0211-58233714 от </w:t>
      </w:r>
      <w:r w:rsidRPr="00E5567B">
        <w:rPr>
          <w:rFonts w:ascii="Times New Roman" w:hAnsi="Times New Roman" w:cs="Times New Roman"/>
        </w:rPr>
        <w:t>12.05.2004)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961"/>
      </w:tblGrid>
      <w:tr w:rsidR="0065640B" w:rsidTr="00FB1940">
        <w:tc>
          <w:tcPr>
            <w:tcW w:w="4957" w:type="dxa"/>
          </w:tcPr>
          <w:p w:rsidR="0065640B" w:rsidRPr="007A5B69" w:rsidRDefault="0065640B" w:rsidP="006378E5">
            <w:pPr>
              <w:spacing w:after="120"/>
              <w:jc w:val="center"/>
            </w:pPr>
            <w:r w:rsidRPr="007A5B69">
              <w:t>СТАРАЯ РЕДАКЦИЯ</w:t>
            </w:r>
          </w:p>
        </w:tc>
        <w:tc>
          <w:tcPr>
            <w:tcW w:w="4961" w:type="dxa"/>
          </w:tcPr>
          <w:p w:rsidR="0065640B" w:rsidRPr="007A5B69" w:rsidRDefault="0065640B" w:rsidP="006378E5">
            <w:pPr>
              <w:spacing w:after="120"/>
              <w:jc w:val="center"/>
            </w:pPr>
            <w:r w:rsidRPr="007A5B69">
              <w:t>НОВАЯ РЕДАКЦИЯ</w:t>
            </w:r>
          </w:p>
        </w:tc>
      </w:tr>
      <w:tr w:rsidR="001B2B3F" w:rsidTr="00FB1940">
        <w:trPr>
          <w:trHeight w:val="1189"/>
        </w:trPr>
        <w:tc>
          <w:tcPr>
            <w:tcW w:w="4957" w:type="dxa"/>
          </w:tcPr>
          <w:p w:rsidR="001B2B3F" w:rsidRPr="00CF3408" w:rsidRDefault="001B2B3F" w:rsidP="001B2B3F">
            <w:pPr>
              <w:tabs>
                <w:tab w:val="left" w:pos="9072"/>
              </w:tabs>
              <w:autoSpaceDE w:val="0"/>
              <w:autoSpaceDN w:val="0"/>
              <w:adjustRightInd w:val="0"/>
              <w:ind w:firstLine="425"/>
              <w:jc w:val="both"/>
            </w:pPr>
            <w:r w:rsidRPr="00CF3408">
              <w:t>22. Объекты инвестирования, их состав и описание.</w:t>
            </w:r>
          </w:p>
          <w:p w:rsidR="001B2B3F" w:rsidRPr="00CF3408" w:rsidRDefault="001B2B3F" w:rsidP="001B2B3F">
            <w:pPr>
              <w:tabs>
                <w:tab w:val="left" w:pos="9072"/>
              </w:tabs>
              <w:autoSpaceDE w:val="0"/>
              <w:autoSpaceDN w:val="0"/>
              <w:adjustRightInd w:val="0"/>
              <w:ind w:firstLine="425"/>
              <w:jc w:val="both"/>
            </w:pPr>
            <w:r w:rsidRPr="00CF3408">
              <w:t xml:space="preserve">22.1. Имущество, составляющее фонд, может быть инвестировано в: </w:t>
            </w:r>
          </w:p>
          <w:p w:rsidR="001B2B3F" w:rsidRPr="00CF3408" w:rsidRDefault="001B2B3F" w:rsidP="001B2B3F">
            <w:pPr>
              <w:tabs>
                <w:tab w:val="left" w:pos="9072"/>
              </w:tabs>
              <w:autoSpaceDE w:val="0"/>
              <w:autoSpaceDN w:val="0"/>
              <w:adjustRightInd w:val="0"/>
              <w:ind w:firstLine="425"/>
              <w:jc w:val="both"/>
            </w:pPr>
            <w:r w:rsidRPr="00CF3408">
              <w:t xml:space="preserve">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следующие активы: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полностью оплаченные акции российских акционерных обществ, за исключением акций акционерных инвестиционных фондов;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полностью оплаченные акции иностранных коммерческих организаций;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lastRenderedPageBreak/>
              <w:t xml:space="preserve">облигации российских юридических лиц;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биржевые облигации российских юридических лиц;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государственные ценные бумаги субъектов Российской Федерации и муниципальные ценные бумаги;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ценные бумаги административно-территориального образования иностранного государства;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1B2B3F" w:rsidRPr="00CF3408" w:rsidRDefault="001B2B3F" w:rsidP="001B2B3F">
            <w:pPr>
              <w:pStyle w:val="Default"/>
              <w:numPr>
                <w:ilvl w:val="0"/>
                <w:numId w:val="5"/>
              </w:numPr>
              <w:ind w:left="0" w:firstLine="425"/>
              <w:jc w:val="both"/>
              <w:rPr>
                <w:b/>
                <w:color w:val="auto"/>
                <w:lang w:eastAsia="ru-RU"/>
              </w:rPr>
            </w:pPr>
            <w:r w:rsidRPr="00CF3408">
              <w:rPr>
                <w:b/>
                <w:color w:val="auto"/>
                <w:lang w:eastAsia="ru-RU"/>
              </w:rPr>
              <w:t xml:space="preserve">российские и иностранные депозитарные расписки на ценные бумаги, предусмотренные пунктом 22 настоящих Правил;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1B2B3F" w:rsidRPr="00CF3408" w:rsidRDefault="001B2B3F" w:rsidP="001B2B3F">
            <w:pPr>
              <w:pStyle w:val="Default"/>
              <w:numPr>
                <w:ilvl w:val="0"/>
                <w:numId w:val="5"/>
              </w:numPr>
              <w:ind w:left="0" w:firstLine="425"/>
              <w:jc w:val="both"/>
              <w:rPr>
                <w:color w:val="auto"/>
                <w:lang w:eastAsia="ru-RU"/>
              </w:rPr>
            </w:pPr>
            <w:r w:rsidRPr="00CF3408">
              <w:rPr>
                <w:color w:val="auto"/>
                <w:lang w:eastAsia="ru-RU"/>
              </w:rPr>
              <w:t xml:space="preserve">паи (акции) иностранных инвестиционных фондов, при этом: </w:t>
            </w:r>
          </w:p>
          <w:p w:rsidR="001B2B3F" w:rsidRPr="00CF3408" w:rsidRDefault="001B2B3F" w:rsidP="001B2B3F">
            <w:pPr>
              <w:tabs>
                <w:tab w:val="left" w:pos="9072"/>
              </w:tabs>
              <w:autoSpaceDE w:val="0"/>
              <w:autoSpaceDN w:val="0"/>
              <w:adjustRightInd w:val="0"/>
              <w:ind w:firstLine="425"/>
              <w:jc w:val="both"/>
            </w:pPr>
            <w:r w:rsidRPr="00CF3408">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rsidR="001B2B3F" w:rsidRPr="00CF3408" w:rsidRDefault="001B2B3F" w:rsidP="001B2B3F">
            <w:pPr>
              <w:tabs>
                <w:tab w:val="left" w:pos="9072"/>
              </w:tabs>
              <w:autoSpaceDE w:val="0"/>
              <w:autoSpaceDN w:val="0"/>
              <w:adjustRightInd w:val="0"/>
              <w:ind w:firstLine="425"/>
              <w:jc w:val="both"/>
            </w:pPr>
            <w:r w:rsidRPr="00CF3408">
              <w:t xml:space="preserve">или </w:t>
            </w:r>
          </w:p>
          <w:p w:rsidR="001B2B3F" w:rsidRPr="00CF3408" w:rsidRDefault="001B2B3F" w:rsidP="001B2B3F">
            <w:pPr>
              <w:tabs>
                <w:tab w:val="left" w:pos="9072"/>
              </w:tabs>
              <w:autoSpaceDE w:val="0"/>
              <w:autoSpaceDN w:val="0"/>
              <w:adjustRightInd w:val="0"/>
              <w:ind w:firstLine="425"/>
              <w:jc w:val="both"/>
            </w:pPr>
            <w:r w:rsidRPr="00CF3408">
              <w:t xml:space="preserve">б) если код CFI указанным паям (акциям) присвоен в соответствии с международным </w:t>
            </w:r>
            <w:r w:rsidRPr="00CF3408">
              <w:lastRenderedPageBreak/>
              <w:t xml:space="preserve">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1B2B3F" w:rsidRPr="00CF3408" w:rsidRDefault="001B2B3F" w:rsidP="001B2B3F">
            <w:pPr>
              <w:tabs>
                <w:tab w:val="left" w:pos="9072"/>
              </w:tabs>
              <w:autoSpaceDE w:val="0"/>
              <w:autoSpaceDN w:val="0"/>
              <w:adjustRightInd w:val="0"/>
              <w:ind w:firstLine="425"/>
              <w:jc w:val="both"/>
            </w:pPr>
            <w:r w:rsidRPr="00CF3408">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1B2B3F" w:rsidRPr="00CF3408" w:rsidRDefault="001B2B3F" w:rsidP="001B2B3F">
            <w:pPr>
              <w:tabs>
                <w:tab w:val="left" w:pos="9072"/>
              </w:tabs>
              <w:autoSpaceDE w:val="0"/>
              <w:autoSpaceDN w:val="0"/>
              <w:adjustRightInd w:val="0"/>
              <w:ind w:firstLine="425"/>
              <w:jc w:val="both"/>
            </w:pPr>
            <w:r w:rsidRPr="00CF3408">
              <w:t xml:space="preserve">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 </w:t>
            </w:r>
          </w:p>
          <w:p w:rsidR="001B2B3F" w:rsidRPr="007F7AD9" w:rsidRDefault="001B2B3F" w:rsidP="001B2B3F">
            <w:pPr>
              <w:tabs>
                <w:tab w:val="left" w:pos="9072"/>
              </w:tabs>
              <w:autoSpaceDE w:val="0"/>
              <w:autoSpaceDN w:val="0"/>
              <w:adjustRightInd w:val="0"/>
              <w:ind w:firstLine="425"/>
              <w:jc w:val="both"/>
            </w:pPr>
          </w:p>
        </w:tc>
        <w:tc>
          <w:tcPr>
            <w:tcW w:w="4961" w:type="dxa"/>
          </w:tcPr>
          <w:p w:rsidR="001B2B3F" w:rsidRPr="00D201F0" w:rsidRDefault="001B2B3F" w:rsidP="001B2B3F">
            <w:pPr>
              <w:ind w:firstLine="425"/>
              <w:jc w:val="both"/>
            </w:pPr>
            <w:r w:rsidRPr="00D201F0">
              <w:lastRenderedPageBreak/>
              <w:t>22. Объекты инвестирования, их состав и описание.</w:t>
            </w:r>
          </w:p>
          <w:p w:rsidR="001B2B3F" w:rsidRPr="000B7D62" w:rsidRDefault="001B2B3F" w:rsidP="001B2B3F">
            <w:pPr>
              <w:pStyle w:val="Default"/>
              <w:ind w:firstLine="425"/>
              <w:jc w:val="both"/>
              <w:rPr>
                <w:color w:val="auto"/>
                <w:lang w:eastAsia="ru-RU"/>
              </w:rPr>
            </w:pPr>
            <w:r w:rsidRPr="000B7D62">
              <w:rPr>
                <w:color w:val="auto"/>
                <w:lang w:eastAsia="ru-RU"/>
              </w:rPr>
              <w:t xml:space="preserve">22.1. Имущество, составляющее фонд, может быть инвестировано в: </w:t>
            </w:r>
          </w:p>
          <w:p w:rsidR="001B2B3F" w:rsidRPr="000B7D62" w:rsidRDefault="001B2B3F" w:rsidP="001B2B3F">
            <w:pPr>
              <w:pStyle w:val="Default"/>
              <w:ind w:firstLine="425"/>
              <w:jc w:val="both"/>
              <w:rPr>
                <w:color w:val="auto"/>
                <w:lang w:eastAsia="ru-RU"/>
              </w:rPr>
            </w:pPr>
            <w:r w:rsidRPr="000B7D62">
              <w:rPr>
                <w:color w:val="auto"/>
                <w:lang w:eastAsia="ru-RU"/>
              </w:rPr>
              <w:t>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w:t>
            </w:r>
            <w:r>
              <w:rPr>
                <w:color w:val="auto"/>
                <w:lang w:eastAsia="ru-RU"/>
              </w:rPr>
              <w:t xml:space="preserve"> </w:t>
            </w:r>
            <w:r w:rsidRPr="000B7D62">
              <w:rPr>
                <w:color w:val="auto"/>
                <w:lang w:eastAsia="ru-RU"/>
              </w:rPr>
              <w:t xml:space="preserve">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следующие активы: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полностью оплаченные акции российских акционерных обществ, за исключением акций акционерных инвестиционных фондов;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полностью оплаченные акции иностранных </w:t>
            </w:r>
            <w:r>
              <w:rPr>
                <w:color w:val="auto"/>
                <w:lang w:eastAsia="ru-RU"/>
              </w:rPr>
              <w:t>коммерческих организаций</w:t>
            </w:r>
            <w:r w:rsidRPr="000B7D62">
              <w:rPr>
                <w:color w:val="auto"/>
                <w:lang w:eastAsia="ru-RU"/>
              </w:rPr>
              <w:t xml:space="preserve">;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lastRenderedPageBreak/>
              <w:t xml:space="preserve">облигации российских юридических лиц;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биржевые облигации российских юридических лиц;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государственные ценные бумаги субъектов Российской Федерации и муниципальные ценные бумаги;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ценные бумаги административно-территориального образования иностранного государства;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1B2B3F" w:rsidRPr="00CF3408" w:rsidRDefault="001B2B3F" w:rsidP="001B2B3F">
            <w:pPr>
              <w:pStyle w:val="Default"/>
              <w:numPr>
                <w:ilvl w:val="0"/>
                <w:numId w:val="5"/>
              </w:numPr>
              <w:ind w:left="0" w:firstLine="425"/>
              <w:jc w:val="both"/>
              <w:rPr>
                <w:b/>
                <w:color w:val="auto"/>
                <w:lang w:eastAsia="ru-RU"/>
              </w:rPr>
            </w:pPr>
            <w:r w:rsidRPr="00CF3408">
              <w:rPr>
                <w:b/>
                <w:color w:val="auto"/>
                <w:lang w:eastAsia="ru-RU"/>
              </w:rPr>
              <w:t xml:space="preserve">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1B2B3F" w:rsidRPr="000B7D62" w:rsidRDefault="001B2B3F" w:rsidP="001B2B3F">
            <w:pPr>
              <w:pStyle w:val="Default"/>
              <w:numPr>
                <w:ilvl w:val="0"/>
                <w:numId w:val="5"/>
              </w:numPr>
              <w:ind w:left="0" w:firstLine="425"/>
              <w:jc w:val="both"/>
              <w:rPr>
                <w:color w:val="auto"/>
                <w:lang w:eastAsia="ru-RU"/>
              </w:rPr>
            </w:pPr>
            <w:r w:rsidRPr="000B7D62">
              <w:rPr>
                <w:color w:val="auto"/>
                <w:lang w:eastAsia="ru-RU"/>
              </w:rPr>
              <w:t xml:space="preserve">паи (акции) иностранных инвестиционных фондов, при этом: </w:t>
            </w:r>
          </w:p>
          <w:p w:rsidR="001B2B3F" w:rsidRPr="000B7D62" w:rsidRDefault="001B2B3F" w:rsidP="001B2B3F">
            <w:pPr>
              <w:pStyle w:val="Default"/>
              <w:ind w:firstLine="425"/>
              <w:jc w:val="both"/>
              <w:rPr>
                <w:color w:val="auto"/>
                <w:lang w:eastAsia="ru-RU"/>
              </w:rPr>
            </w:pPr>
            <w:r w:rsidRPr="000B7D62">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w:t>
            </w:r>
            <w:r w:rsidRPr="000B7D62">
              <w:rPr>
                <w:color w:val="auto"/>
                <w:lang w:eastAsia="ru-RU"/>
              </w:rPr>
              <w:lastRenderedPageBreak/>
              <w:t xml:space="preserve">«Z» или «A»; </w:t>
            </w:r>
          </w:p>
          <w:p w:rsidR="001B2B3F" w:rsidRPr="000B7D62" w:rsidRDefault="001B2B3F" w:rsidP="001B2B3F">
            <w:pPr>
              <w:pStyle w:val="Default"/>
              <w:ind w:firstLine="425"/>
              <w:jc w:val="both"/>
              <w:rPr>
                <w:color w:val="auto"/>
                <w:lang w:eastAsia="ru-RU"/>
              </w:rPr>
            </w:pPr>
            <w:r w:rsidRPr="000B7D62">
              <w:rPr>
                <w:color w:val="auto"/>
                <w:lang w:eastAsia="ru-RU"/>
              </w:rPr>
              <w:t xml:space="preserve">или </w:t>
            </w:r>
          </w:p>
          <w:p w:rsidR="001B2B3F" w:rsidRPr="000B7D62" w:rsidRDefault="001B2B3F" w:rsidP="001B2B3F">
            <w:pPr>
              <w:pStyle w:val="Default"/>
              <w:ind w:firstLine="425"/>
              <w:jc w:val="both"/>
              <w:rPr>
                <w:color w:val="auto"/>
                <w:lang w:eastAsia="ru-RU"/>
              </w:rPr>
            </w:pPr>
            <w:r w:rsidRPr="000B7D62">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1B2B3F" w:rsidRPr="000B7D62" w:rsidRDefault="001B2B3F" w:rsidP="001B2B3F">
            <w:pPr>
              <w:pStyle w:val="Default"/>
              <w:ind w:firstLine="425"/>
              <w:jc w:val="both"/>
              <w:rPr>
                <w:color w:val="auto"/>
                <w:lang w:eastAsia="ru-RU"/>
              </w:rPr>
            </w:pPr>
            <w:r w:rsidRPr="000B7D62">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1B2B3F" w:rsidRDefault="001B2B3F" w:rsidP="008A5675">
            <w:pPr>
              <w:pStyle w:val="Default"/>
              <w:ind w:firstLine="425"/>
              <w:jc w:val="both"/>
            </w:pPr>
            <w:r w:rsidRPr="000B7D62">
              <w:rPr>
                <w:color w:val="auto"/>
                <w:lang w:eastAsia="ru-RU"/>
              </w:rPr>
              <w:t xml:space="preserve">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 </w:t>
            </w:r>
          </w:p>
        </w:tc>
      </w:tr>
      <w:tr w:rsidR="00715DA4" w:rsidRPr="00825F25" w:rsidTr="00FB1940">
        <w:trPr>
          <w:trHeight w:val="1189"/>
        </w:trPr>
        <w:tc>
          <w:tcPr>
            <w:tcW w:w="4957" w:type="dxa"/>
          </w:tcPr>
          <w:p w:rsidR="00715DA4" w:rsidRDefault="00715DA4" w:rsidP="00715DA4">
            <w:pPr>
              <w:tabs>
                <w:tab w:val="left" w:pos="9072"/>
              </w:tabs>
              <w:autoSpaceDE w:val="0"/>
              <w:autoSpaceDN w:val="0"/>
              <w:adjustRightInd w:val="0"/>
              <w:ind w:firstLine="425"/>
              <w:jc w:val="both"/>
            </w:pPr>
            <w:r>
              <w:lastRenderedPageBreak/>
              <w:t xml:space="preserve">23. Структура активов фонда должна соответствовать следующим требованиям: </w:t>
            </w:r>
          </w:p>
          <w:p w:rsidR="00715DA4" w:rsidRDefault="00715DA4" w:rsidP="00715DA4">
            <w:pPr>
              <w:tabs>
                <w:tab w:val="left" w:pos="9072"/>
              </w:tabs>
              <w:autoSpaceDE w:val="0"/>
              <w:autoSpaceDN w:val="0"/>
              <w:adjustRightInd w:val="0"/>
              <w:ind w:firstLine="425"/>
              <w:jc w:val="both"/>
            </w:pPr>
            <w:r>
              <w:t xml:space="preserve">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23.5. настоящих Правил, от стоимости чистых активов фонда в совокупности должна превышать большую из следующих величин: </w:t>
            </w:r>
          </w:p>
          <w:p w:rsidR="00715DA4" w:rsidRDefault="00715DA4" w:rsidP="00715DA4">
            <w:pPr>
              <w:tabs>
                <w:tab w:val="left" w:pos="9072"/>
              </w:tabs>
              <w:autoSpaceDE w:val="0"/>
              <w:autoSpaceDN w:val="0"/>
              <w:adjustRightInd w:val="0"/>
              <w:ind w:firstLine="425"/>
              <w:jc w:val="both"/>
            </w:pPr>
            <w:r>
              <w:t xml:space="preserve">-  пять процентов; </w:t>
            </w:r>
          </w:p>
          <w:p w:rsidR="00715DA4" w:rsidRDefault="00715DA4" w:rsidP="00715DA4">
            <w:pPr>
              <w:tabs>
                <w:tab w:val="left" w:pos="9072"/>
              </w:tabs>
              <w:autoSpaceDE w:val="0"/>
              <w:autoSpaceDN w:val="0"/>
              <w:adjustRightInd w:val="0"/>
              <w:ind w:firstLine="425"/>
              <w:jc w:val="both"/>
            </w:pPr>
            <w: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715DA4" w:rsidRDefault="00715DA4" w:rsidP="00715DA4">
            <w:pPr>
              <w:tabs>
                <w:tab w:val="left" w:pos="9072"/>
              </w:tabs>
              <w:autoSpaceDE w:val="0"/>
              <w:autoSpaceDN w:val="0"/>
              <w:adjustRightInd w:val="0"/>
              <w:ind w:firstLine="425"/>
              <w:jc w:val="both"/>
            </w:pPr>
            <w:r>
              <w:t xml:space="preserve">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715DA4" w:rsidRDefault="00715DA4" w:rsidP="00715DA4">
            <w:pPr>
              <w:tabs>
                <w:tab w:val="left" w:pos="9072"/>
              </w:tabs>
              <w:autoSpaceDE w:val="0"/>
              <w:autoSpaceDN w:val="0"/>
              <w:adjustRightInd w:val="0"/>
              <w:ind w:firstLine="425"/>
              <w:jc w:val="both"/>
            </w:pPr>
            <w:r>
              <w:t xml:space="preserve">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715DA4" w:rsidRDefault="00715DA4" w:rsidP="00715DA4">
            <w:pPr>
              <w:tabs>
                <w:tab w:val="left" w:pos="9072"/>
              </w:tabs>
              <w:autoSpaceDE w:val="0"/>
              <w:autoSpaceDN w:val="0"/>
              <w:adjustRightInd w:val="0"/>
              <w:ind w:firstLine="425"/>
              <w:jc w:val="both"/>
            </w:pPr>
            <w: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w:t>
            </w:r>
            <w:r w:rsidRPr="00D768C1">
              <w:rPr>
                <w:b/>
              </w:rPr>
              <w:t>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w:t>
            </w:r>
            <w: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715DA4" w:rsidRPr="00D768C1" w:rsidRDefault="00715DA4" w:rsidP="00715DA4">
            <w:pPr>
              <w:tabs>
                <w:tab w:val="left" w:pos="9072"/>
              </w:tabs>
              <w:autoSpaceDE w:val="0"/>
              <w:autoSpaceDN w:val="0"/>
              <w:adjustRightInd w:val="0"/>
              <w:ind w:firstLine="425"/>
              <w:jc w:val="both"/>
              <w:rPr>
                <w:b/>
              </w:rPr>
            </w:pPr>
            <w:r w:rsidRPr="00D768C1">
              <w:rPr>
                <w:b/>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715DA4" w:rsidRDefault="00715DA4" w:rsidP="00715DA4">
            <w:pPr>
              <w:tabs>
                <w:tab w:val="left" w:pos="9072"/>
              </w:tabs>
              <w:autoSpaceDE w:val="0"/>
              <w:autoSpaceDN w:val="0"/>
              <w:adjustRightInd w:val="0"/>
              <w:ind w:firstLine="425"/>
              <w:jc w:val="both"/>
            </w:pPr>
            <w:r>
              <w:t xml:space="preserve">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715DA4" w:rsidRDefault="00715DA4" w:rsidP="00715DA4">
            <w:pPr>
              <w:tabs>
                <w:tab w:val="left" w:pos="9072"/>
              </w:tabs>
              <w:autoSpaceDE w:val="0"/>
              <w:autoSpaceDN w:val="0"/>
              <w:adjustRightInd w:val="0"/>
              <w:ind w:firstLine="425"/>
              <w:jc w:val="both"/>
            </w:pPr>
            <w: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w:t>
            </w:r>
            <w:r w:rsidRPr="00D768C1">
              <w:rPr>
                <w:b/>
              </w:rPr>
              <w:t xml:space="preserve"> и исходя из требований, предъявляемых к деятельности инвестиционного фонда, </w:t>
            </w:r>
            <w:r w:rsidR="008A5675">
              <w:rPr>
                <w:b/>
              </w:rPr>
              <w:t xml:space="preserve">           </w:t>
            </w:r>
            <w:r w:rsidRPr="00D768C1">
              <w:rPr>
                <w:b/>
              </w:rPr>
              <w:t xml:space="preserve">или документов, регулирующих инвестиционную деятельность инвестиционного фонда </w:t>
            </w:r>
            <w:r>
              <w:t xml:space="preserve">(в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 </w:t>
            </w:r>
          </w:p>
          <w:p w:rsidR="00715DA4" w:rsidRDefault="00715DA4" w:rsidP="00715DA4">
            <w:pPr>
              <w:tabs>
                <w:tab w:val="left" w:pos="9072"/>
              </w:tabs>
              <w:autoSpaceDE w:val="0"/>
              <w:autoSpaceDN w:val="0"/>
              <w:adjustRightInd w:val="0"/>
              <w:ind w:firstLine="425"/>
              <w:jc w:val="both"/>
            </w:pPr>
            <w: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w:t>
            </w:r>
            <w:r w:rsidRPr="00D768C1">
              <w:rPr>
                <w:b/>
              </w:rPr>
              <w:t>указанного ограничения</w:t>
            </w:r>
            <w:r>
              <w:t xml:space="preserve">,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 </w:t>
            </w:r>
          </w:p>
          <w:p w:rsidR="00715DA4" w:rsidRPr="00D768C1" w:rsidRDefault="00715DA4" w:rsidP="00715DA4">
            <w:pPr>
              <w:tabs>
                <w:tab w:val="left" w:pos="9072"/>
              </w:tabs>
              <w:autoSpaceDE w:val="0"/>
              <w:autoSpaceDN w:val="0"/>
              <w:adjustRightInd w:val="0"/>
              <w:ind w:firstLine="425"/>
              <w:jc w:val="both"/>
              <w:rPr>
                <w:b/>
              </w:rPr>
            </w:pPr>
            <w:r w:rsidRPr="00D768C1">
              <w:rPr>
                <w:b/>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715DA4" w:rsidRDefault="00715DA4" w:rsidP="00715DA4">
            <w:pPr>
              <w:tabs>
                <w:tab w:val="left" w:pos="9072"/>
              </w:tabs>
              <w:autoSpaceDE w:val="0"/>
              <w:autoSpaceDN w:val="0"/>
              <w:adjustRightInd w:val="0"/>
              <w:ind w:firstLine="425"/>
              <w:jc w:val="both"/>
            </w:pPr>
            <w:r>
              <w:t xml:space="preserve">23.3.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иным сделкам, </w:t>
            </w:r>
            <w:r w:rsidRPr="00D768C1">
              <w:rPr>
                <w:b/>
              </w:rPr>
              <w:t>дата исполнения которых не ранее 3 рабочих дней с даты заключения сделки</w:t>
            </w:r>
            <w:r>
              <w:t xml:space="preserve">,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715DA4" w:rsidRDefault="00715DA4" w:rsidP="00715DA4">
            <w:pPr>
              <w:tabs>
                <w:tab w:val="left" w:pos="9072"/>
              </w:tabs>
              <w:autoSpaceDE w:val="0"/>
              <w:autoSpaceDN w:val="0"/>
              <w:adjustRightInd w:val="0"/>
              <w:ind w:firstLine="425"/>
              <w:jc w:val="both"/>
            </w:pPr>
            <w:r>
              <w:t xml:space="preserve">На дату заключения сделок с производными финансовыми инструментами, договоров займа, кредитных договоров или сделок, </w:t>
            </w:r>
            <w:r w:rsidRPr="00D768C1">
              <w:rPr>
                <w:b/>
              </w:rPr>
              <w:t>дата исполнения которых не ранее 3 рабочих дней с даты заключения сделки</w:t>
            </w:r>
            <w:r>
              <w:t xml:space="preserve">,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715DA4" w:rsidRDefault="00715DA4" w:rsidP="00715DA4">
            <w:pPr>
              <w:tabs>
                <w:tab w:val="left" w:pos="9072"/>
              </w:tabs>
              <w:autoSpaceDE w:val="0"/>
              <w:autoSpaceDN w:val="0"/>
              <w:adjustRightInd w:val="0"/>
              <w:ind w:firstLine="425"/>
              <w:jc w:val="both"/>
            </w:pPr>
            <w:r>
              <w:t xml:space="preserve">Для целей настоящего пункта </w:t>
            </w:r>
            <w:r w:rsidRPr="00D768C1">
              <w:rPr>
                <w:b/>
              </w:rPr>
              <w:t>производные финансовые инструменты учитываются в объеме открытой позиции, скорректированной по результатам клиринга</w:t>
            </w:r>
            <w:r>
              <w:t xml:space="preserve">. </w:t>
            </w:r>
          </w:p>
          <w:p w:rsidR="00715DA4" w:rsidRDefault="00715DA4" w:rsidP="00715DA4">
            <w:pPr>
              <w:tabs>
                <w:tab w:val="left" w:pos="9072"/>
              </w:tabs>
              <w:autoSpaceDE w:val="0"/>
              <w:autoSpaceDN w:val="0"/>
              <w:adjustRightInd w:val="0"/>
              <w:ind w:firstLine="425"/>
              <w:jc w:val="both"/>
            </w:pPr>
            <w:r>
              <w:t xml:space="preserve">Для целей абзаца первого и второго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 </w:t>
            </w:r>
          </w:p>
          <w:p w:rsidR="00715DA4" w:rsidRDefault="00715DA4" w:rsidP="00715DA4">
            <w:pPr>
              <w:tabs>
                <w:tab w:val="left" w:pos="9072"/>
              </w:tabs>
              <w:autoSpaceDE w:val="0"/>
              <w:autoSpaceDN w:val="0"/>
              <w:adjustRightInd w:val="0"/>
              <w:ind w:firstLine="425"/>
              <w:jc w:val="both"/>
            </w:pPr>
            <w:r>
              <w:t xml:space="preserve">23.4. Требования пункта 23 настоящих Правил применяются до даты возникновения основания прекращения фонда. </w:t>
            </w:r>
          </w:p>
          <w:p w:rsidR="00715DA4" w:rsidRDefault="00715DA4" w:rsidP="00715DA4">
            <w:pPr>
              <w:tabs>
                <w:tab w:val="left" w:pos="9072"/>
              </w:tabs>
              <w:autoSpaceDE w:val="0"/>
              <w:autoSpaceDN w:val="0"/>
              <w:adjustRightInd w:val="0"/>
              <w:ind w:firstLine="425"/>
              <w:jc w:val="both"/>
            </w:pPr>
            <w:r>
              <w:t xml:space="preserve">23.5. Перечень фондовых индексов: </w:t>
            </w:r>
          </w:p>
          <w:p w:rsidR="00715DA4" w:rsidRDefault="00715DA4" w:rsidP="00715DA4">
            <w:pPr>
              <w:tabs>
                <w:tab w:val="left" w:pos="9072"/>
              </w:tabs>
              <w:autoSpaceDE w:val="0"/>
              <w:autoSpaceDN w:val="0"/>
              <w:adjustRightInd w:val="0"/>
              <w:ind w:firstLine="425"/>
              <w:jc w:val="both"/>
            </w:pPr>
            <w:r>
              <w:t xml:space="preserve">1) S&amp;P/ASX-200 (Австралия) </w:t>
            </w:r>
          </w:p>
          <w:p w:rsidR="00715DA4" w:rsidRDefault="00715DA4" w:rsidP="00715DA4">
            <w:pPr>
              <w:tabs>
                <w:tab w:val="left" w:pos="9072"/>
              </w:tabs>
              <w:autoSpaceDE w:val="0"/>
              <w:autoSpaceDN w:val="0"/>
              <w:adjustRightInd w:val="0"/>
              <w:ind w:firstLine="425"/>
              <w:jc w:val="both"/>
            </w:pPr>
            <w:r>
              <w:t xml:space="preserve">2) АТХ (Австрия) </w:t>
            </w:r>
          </w:p>
          <w:p w:rsidR="00715DA4" w:rsidRDefault="00715DA4" w:rsidP="00715DA4">
            <w:pPr>
              <w:tabs>
                <w:tab w:val="left" w:pos="9072"/>
              </w:tabs>
              <w:autoSpaceDE w:val="0"/>
              <w:autoSpaceDN w:val="0"/>
              <w:adjustRightInd w:val="0"/>
              <w:ind w:firstLine="425"/>
              <w:jc w:val="both"/>
            </w:pPr>
            <w:r>
              <w:t xml:space="preserve">3) BEL20 (Бельгия) </w:t>
            </w:r>
          </w:p>
          <w:p w:rsidR="00715DA4" w:rsidRDefault="00715DA4" w:rsidP="00715DA4">
            <w:pPr>
              <w:tabs>
                <w:tab w:val="left" w:pos="9072"/>
              </w:tabs>
              <w:autoSpaceDE w:val="0"/>
              <w:autoSpaceDN w:val="0"/>
              <w:adjustRightInd w:val="0"/>
              <w:ind w:firstLine="425"/>
              <w:jc w:val="both"/>
            </w:pPr>
            <w:r>
              <w:t xml:space="preserve">4) Ibovespa (Бразилия) </w:t>
            </w:r>
          </w:p>
          <w:p w:rsidR="00715DA4" w:rsidRDefault="00715DA4" w:rsidP="00715DA4">
            <w:pPr>
              <w:tabs>
                <w:tab w:val="left" w:pos="9072"/>
              </w:tabs>
              <w:autoSpaceDE w:val="0"/>
              <w:autoSpaceDN w:val="0"/>
              <w:adjustRightInd w:val="0"/>
              <w:ind w:firstLine="425"/>
              <w:jc w:val="both"/>
            </w:pPr>
            <w:r>
              <w:t xml:space="preserve">5) Budapest SE (Венгрия) </w:t>
            </w:r>
          </w:p>
          <w:p w:rsidR="00715DA4" w:rsidRDefault="00715DA4" w:rsidP="00715DA4">
            <w:pPr>
              <w:tabs>
                <w:tab w:val="left" w:pos="9072"/>
              </w:tabs>
              <w:autoSpaceDE w:val="0"/>
              <w:autoSpaceDN w:val="0"/>
              <w:adjustRightInd w:val="0"/>
              <w:ind w:firstLine="425"/>
              <w:jc w:val="both"/>
            </w:pPr>
            <w:r>
              <w:t xml:space="preserve">6) FTSE 100 (Великобритания) </w:t>
            </w:r>
          </w:p>
          <w:p w:rsidR="00715DA4" w:rsidRDefault="00715DA4" w:rsidP="00715DA4">
            <w:pPr>
              <w:tabs>
                <w:tab w:val="left" w:pos="9072"/>
              </w:tabs>
              <w:autoSpaceDE w:val="0"/>
              <w:autoSpaceDN w:val="0"/>
              <w:adjustRightInd w:val="0"/>
              <w:ind w:firstLine="425"/>
              <w:jc w:val="both"/>
            </w:pPr>
            <w:r>
              <w:t xml:space="preserve">7) Hang Seng (Гонконг) </w:t>
            </w:r>
          </w:p>
          <w:p w:rsidR="00715DA4" w:rsidRDefault="00715DA4" w:rsidP="00715DA4">
            <w:pPr>
              <w:tabs>
                <w:tab w:val="left" w:pos="9072"/>
              </w:tabs>
              <w:autoSpaceDE w:val="0"/>
              <w:autoSpaceDN w:val="0"/>
              <w:adjustRightInd w:val="0"/>
              <w:ind w:firstLine="425"/>
              <w:jc w:val="both"/>
            </w:pPr>
            <w:r>
              <w:t xml:space="preserve">8) DАХ (Германия) </w:t>
            </w:r>
          </w:p>
          <w:p w:rsidR="00715DA4" w:rsidRDefault="00715DA4" w:rsidP="00715DA4">
            <w:pPr>
              <w:tabs>
                <w:tab w:val="left" w:pos="9072"/>
              </w:tabs>
              <w:autoSpaceDE w:val="0"/>
              <w:autoSpaceDN w:val="0"/>
              <w:adjustRightInd w:val="0"/>
              <w:ind w:firstLine="425"/>
              <w:jc w:val="both"/>
            </w:pPr>
            <w:r>
              <w:t xml:space="preserve">9) ОМХ Copenhagen 20 (Дания) </w:t>
            </w:r>
          </w:p>
          <w:p w:rsidR="00715DA4" w:rsidRDefault="00715DA4" w:rsidP="00715DA4">
            <w:pPr>
              <w:tabs>
                <w:tab w:val="left" w:pos="9072"/>
              </w:tabs>
              <w:autoSpaceDE w:val="0"/>
              <w:autoSpaceDN w:val="0"/>
              <w:adjustRightInd w:val="0"/>
              <w:ind w:firstLine="425"/>
              <w:jc w:val="both"/>
            </w:pPr>
            <w:r>
              <w:t xml:space="preserve">10) ТА 25 (Израиль) </w:t>
            </w:r>
          </w:p>
          <w:p w:rsidR="00715DA4" w:rsidRDefault="00715DA4" w:rsidP="00715DA4">
            <w:pPr>
              <w:tabs>
                <w:tab w:val="left" w:pos="9072"/>
              </w:tabs>
              <w:autoSpaceDE w:val="0"/>
              <w:autoSpaceDN w:val="0"/>
              <w:adjustRightInd w:val="0"/>
              <w:ind w:firstLine="425"/>
              <w:jc w:val="both"/>
            </w:pPr>
            <w:r>
              <w:t xml:space="preserve">11) BSE Sensex (Индия) </w:t>
            </w:r>
          </w:p>
          <w:p w:rsidR="00715DA4" w:rsidRDefault="00715DA4" w:rsidP="00715DA4">
            <w:pPr>
              <w:tabs>
                <w:tab w:val="left" w:pos="9072"/>
              </w:tabs>
              <w:autoSpaceDE w:val="0"/>
              <w:autoSpaceDN w:val="0"/>
              <w:adjustRightInd w:val="0"/>
              <w:ind w:firstLine="425"/>
              <w:jc w:val="both"/>
            </w:pPr>
            <w:r>
              <w:t xml:space="preserve">12) ISEQ 20 (Ирландия) </w:t>
            </w:r>
          </w:p>
          <w:p w:rsidR="00715DA4" w:rsidRDefault="00715DA4" w:rsidP="00715DA4">
            <w:pPr>
              <w:tabs>
                <w:tab w:val="left" w:pos="9072"/>
              </w:tabs>
              <w:autoSpaceDE w:val="0"/>
              <w:autoSpaceDN w:val="0"/>
              <w:adjustRightInd w:val="0"/>
              <w:ind w:firstLine="425"/>
              <w:jc w:val="both"/>
            </w:pPr>
            <w:r>
              <w:t xml:space="preserve">13) ICEX (Исландия) </w:t>
            </w:r>
          </w:p>
          <w:p w:rsidR="00715DA4" w:rsidRDefault="00715DA4" w:rsidP="00715DA4">
            <w:pPr>
              <w:tabs>
                <w:tab w:val="left" w:pos="9072"/>
              </w:tabs>
              <w:autoSpaceDE w:val="0"/>
              <w:autoSpaceDN w:val="0"/>
              <w:adjustRightInd w:val="0"/>
              <w:ind w:firstLine="425"/>
              <w:jc w:val="both"/>
            </w:pPr>
            <w:r>
              <w:t xml:space="preserve">14) IBEX 35 (Испания) </w:t>
            </w:r>
          </w:p>
          <w:p w:rsidR="00715DA4" w:rsidRPr="00783BF1" w:rsidRDefault="002366BB" w:rsidP="00715DA4">
            <w:pPr>
              <w:tabs>
                <w:tab w:val="left" w:pos="9072"/>
              </w:tabs>
              <w:autoSpaceDE w:val="0"/>
              <w:autoSpaceDN w:val="0"/>
              <w:adjustRightInd w:val="0"/>
              <w:ind w:firstLine="425"/>
              <w:jc w:val="both"/>
            </w:pPr>
            <w:r w:rsidRPr="00783BF1">
              <w:t xml:space="preserve">15) </w:t>
            </w:r>
            <w:r w:rsidR="00715DA4" w:rsidRPr="00715DA4">
              <w:rPr>
                <w:lang w:val="en-US"/>
              </w:rPr>
              <w:t>FTSE</w:t>
            </w:r>
            <w:r w:rsidRPr="00783BF1">
              <w:t xml:space="preserve"> </w:t>
            </w:r>
            <w:r w:rsidR="00715DA4" w:rsidRPr="00715DA4">
              <w:rPr>
                <w:lang w:val="en-US"/>
              </w:rPr>
              <w:t>MIB</w:t>
            </w:r>
            <w:r w:rsidRPr="00783BF1">
              <w:t xml:space="preserve"> (</w:t>
            </w:r>
            <w:r w:rsidR="00715DA4">
              <w:t>Италия</w:t>
            </w:r>
            <w:r w:rsidRPr="00783BF1">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16) S&amp;P/TSX (</w:t>
            </w:r>
            <w:r>
              <w:t>Канада</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17) SSE Composite Index (</w:t>
            </w:r>
            <w:r>
              <w:t>Китай</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18) LuxX Index (</w:t>
            </w:r>
            <w:r>
              <w:t>Люксембург</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19) IPC (</w:t>
            </w:r>
            <w:r>
              <w:t>Мексика</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 xml:space="preserve">20) </w:t>
            </w:r>
            <w:r>
              <w:t>АЕХ</w:t>
            </w:r>
            <w:r w:rsidRPr="00715DA4">
              <w:rPr>
                <w:lang w:val="en-US"/>
              </w:rPr>
              <w:t xml:space="preserve"> Index (</w:t>
            </w:r>
            <w:r>
              <w:t>Нидерланды</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21) DJ New Zealand (</w:t>
            </w:r>
            <w:r>
              <w:t>Новая</w:t>
            </w:r>
            <w:r w:rsidRPr="00715DA4">
              <w:rPr>
                <w:lang w:val="en-US"/>
              </w:rPr>
              <w:t xml:space="preserve"> </w:t>
            </w:r>
            <w:r>
              <w:t>Зеландия</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22) OBX (</w:t>
            </w:r>
            <w:r>
              <w:t>Норвегия</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23) WIG (</w:t>
            </w:r>
            <w:r>
              <w:t>Польша</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24) PSI 20 (</w:t>
            </w:r>
            <w:r>
              <w:t>Португалия</w:t>
            </w:r>
            <w:r w:rsidRPr="00715DA4">
              <w:rPr>
                <w:lang w:val="en-US"/>
              </w:rPr>
              <w:t xml:space="preserve">) </w:t>
            </w:r>
          </w:p>
          <w:p w:rsidR="00715DA4" w:rsidRDefault="00715DA4" w:rsidP="00715DA4">
            <w:pPr>
              <w:tabs>
                <w:tab w:val="left" w:pos="9072"/>
              </w:tabs>
              <w:autoSpaceDE w:val="0"/>
              <w:autoSpaceDN w:val="0"/>
              <w:adjustRightInd w:val="0"/>
              <w:ind w:firstLine="425"/>
              <w:jc w:val="both"/>
            </w:pPr>
            <w:r>
              <w:t xml:space="preserve">25) ММВБ (Россия) </w:t>
            </w:r>
          </w:p>
          <w:p w:rsidR="00715DA4" w:rsidRDefault="00715DA4" w:rsidP="00715DA4">
            <w:pPr>
              <w:tabs>
                <w:tab w:val="left" w:pos="9072"/>
              </w:tabs>
              <w:autoSpaceDE w:val="0"/>
              <w:autoSpaceDN w:val="0"/>
              <w:adjustRightInd w:val="0"/>
              <w:ind w:firstLine="425"/>
              <w:jc w:val="both"/>
            </w:pPr>
            <w:r>
              <w:t xml:space="preserve">26) РТС (Россия) </w:t>
            </w:r>
          </w:p>
          <w:p w:rsidR="00715DA4" w:rsidRDefault="00715DA4" w:rsidP="00715DA4">
            <w:pPr>
              <w:tabs>
                <w:tab w:val="left" w:pos="9072"/>
              </w:tabs>
              <w:autoSpaceDE w:val="0"/>
              <w:autoSpaceDN w:val="0"/>
              <w:adjustRightInd w:val="0"/>
              <w:ind w:firstLine="425"/>
              <w:jc w:val="both"/>
            </w:pPr>
            <w:r>
              <w:t xml:space="preserve">27) SAX (Словакия)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28) Blue-Chip SBITOP (</w:t>
            </w:r>
            <w:r>
              <w:t>Словения</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29) Dow Jones (</w:t>
            </w:r>
            <w:r>
              <w:t>США</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30) S&amp;P 500 (</w:t>
            </w:r>
            <w:r>
              <w:t>США</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31) BIST 100 (</w:t>
            </w:r>
            <w:r>
              <w:t>Турция</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 xml:space="preserve">32) </w:t>
            </w:r>
            <w:r>
              <w:t>ОМХ</w:t>
            </w:r>
            <w:r w:rsidRPr="00715DA4">
              <w:rPr>
                <w:lang w:val="en-US"/>
              </w:rPr>
              <w:t xml:space="preserve"> Helsinki 25 (</w:t>
            </w:r>
            <w:r>
              <w:t>Финляндия</w:t>
            </w:r>
            <w:r w:rsidRPr="00715DA4">
              <w:rPr>
                <w:lang w:val="en-US"/>
              </w:rPr>
              <w:t xml:space="preserve">) </w:t>
            </w:r>
          </w:p>
          <w:p w:rsidR="00715DA4" w:rsidRDefault="00715DA4" w:rsidP="00715DA4">
            <w:pPr>
              <w:tabs>
                <w:tab w:val="left" w:pos="9072"/>
              </w:tabs>
              <w:autoSpaceDE w:val="0"/>
              <w:autoSpaceDN w:val="0"/>
              <w:adjustRightInd w:val="0"/>
              <w:ind w:firstLine="425"/>
              <w:jc w:val="both"/>
            </w:pPr>
            <w:r>
              <w:t xml:space="preserve">33) САС 40 (Франция) </w:t>
            </w:r>
          </w:p>
          <w:p w:rsidR="00715DA4" w:rsidRDefault="00715DA4" w:rsidP="00715DA4">
            <w:pPr>
              <w:tabs>
                <w:tab w:val="left" w:pos="9072"/>
              </w:tabs>
              <w:autoSpaceDE w:val="0"/>
              <w:autoSpaceDN w:val="0"/>
              <w:adjustRightInd w:val="0"/>
              <w:ind w:firstLine="425"/>
              <w:jc w:val="both"/>
            </w:pPr>
            <w:r>
              <w:t xml:space="preserve">34) РХ Index (Чешская республика) </w:t>
            </w:r>
          </w:p>
          <w:p w:rsidR="00715DA4" w:rsidRDefault="00715DA4" w:rsidP="00715DA4">
            <w:pPr>
              <w:tabs>
                <w:tab w:val="left" w:pos="9072"/>
              </w:tabs>
              <w:autoSpaceDE w:val="0"/>
              <w:autoSpaceDN w:val="0"/>
              <w:adjustRightInd w:val="0"/>
              <w:ind w:firstLine="425"/>
              <w:jc w:val="both"/>
            </w:pPr>
            <w:r>
              <w:t xml:space="preserve">35) IPSA (Чили) </w:t>
            </w:r>
          </w:p>
          <w:p w:rsidR="00715DA4" w:rsidRDefault="00715DA4" w:rsidP="00715DA4">
            <w:pPr>
              <w:tabs>
                <w:tab w:val="left" w:pos="9072"/>
              </w:tabs>
              <w:autoSpaceDE w:val="0"/>
              <w:autoSpaceDN w:val="0"/>
              <w:adjustRightInd w:val="0"/>
              <w:ind w:firstLine="425"/>
              <w:jc w:val="both"/>
            </w:pPr>
            <w:r>
              <w:t xml:space="preserve">36) SMI (Швейцария) </w:t>
            </w:r>
          </w:p>
          <w:p w:rsidR="00715DA4" w:rsidRDefault="00715DA4" w:rsidP="00715DA4">
            <w:pPr>
              <w:tabs>
                <w:tab w:val="left" w:pos="9072"/>
              </w:tabs>
              <w:autoSpaceDE w:val="0"/>
              <w:autoSpaceDN w:val="0"/>
              <w:adjustRightInd w:val="0"/>
              <w:ind w:firstLine="425"/>
              <w:jc w:val="both"/>
            </w:pPr>
            <w:r>
              <w:t xml:space="preserve">37) OMXS30 (Швеция)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38) Tallinn SE General (</w:t>
            </w:r>
            <w:r>
              <w:t>Эстония</w:t>
            </w:r>
            <w:r w:rsidRPr="00715DA4">
              <w:rPr>
                <w:lang w:val="en-US"/>
              </w:rPr>
              <w:t xml:space="preserve">) </w:t>
            </w:r>
          </w:p>
          <w:p w:rsidR="00715DA4" w:rsidRPr="00715DA4" w:rsidRDefault="00715DA4" w:rsidP="00715DA4">
            <w:pPr>
              <w:tabs>
                <w:tab w:val="left" w:pos="9072"/>
              </w:tabs>
              <w:autoSpaceDE w:val="0"/>
              <w:autoSpaceDN w:val="0"/>
              <w:adjustRightInd w:val="0"/>
              <w:ind w:firstLine="425"/>
              <w:jc w:val="both"/>
              <w:rPr>
                <w:lang w:val="en-US"/>
              </w:rPr>
            </w:pPr>
            <w:r w:rsidRPr="00715DA4">
              <w:rPr>
                <w:lang w:val="en-US"/>
              </w:rPr>
              <w:t xml:space="preserve">39) FTSE/JSE </w:t>
            </w:r>
            <w:r>
              <w:t>Тор</w:t>
            </w:r>
            <w:r w:rsidRPr="00715DA4">
              <w:rPr>
                <w:lang w:val="en-US"/>
              </w:rPr>
              <w:t>40 (</w:t>
            </w:r>
            <w:r>
              <w:t>ЮАР</w:t>
            </w:r>
            <w:r w:rsidRPr="00715DA4">
              <w:rPr>
                <w:lang w:val="en-US"/>
              </w:rPr>
              <w:t xml:space="preserve">) </w:t>
            </w:r>
          </w:p>
          <w:p w:rsidR="00715DA4" w:rsidRPr="008A5675" w:rsidRDefault="00715DA4" w:rsidP="00715DA4">
            <w:pPr>
              <w:tabs>
                <w:tab w:val="left" w:pos="9072"/>
              </w:tabs>
              <w:autoSpaceDE w:val="0"/>
              <w:autoSpaceDN w:val="0"/>
              <w:adjustRightInd w:val="0"/>
              <w:ind w:firstLine="425"/>
              <w:jc w:val="both"/>
              <w:rPr>
                <w:lang w:val="en-US"/>
              </w:rPr>
            </w:pPr>
            <w:r w:rsidRPr="008A5675">
              <w:rPr>
                <w:lang w:val="en-US"/>
              </w:rPr>
              <w:t>40) KOSPI (</w:t>
            </w:r>
            <w:r>
              <w:t>Южная</w:t>
            </w:r>
            <w:r w:rsidRPr="008A5675">
              <w:rPr>
                <w:lang w:val="en-US"/>
              </w:rPr>
              <w:t xml:space="preserve"> </w:t>
            </w:r>
            <w:r>
              <w:t>Корея</w:t>
            </w:r>
            <w:r w:rsidRPr="008A5675">
              <w:rPr>
                <w:lang w:val="en-US"/>
              </w:rPr>
              <w:t xml:space="preserve">) </w:t>
            </w:r>
          </w:p>
          <w:p w:rsidR="00715DA4" w:rsidRPr="008A5675" w:rsidRDefault="00715DA4" w:rsidP="00715DA4">
            <w:pPr>
              <w:tabs>
                <w:tab w:val="left" w:pos="9072"/>
              </w:tabs>
              <w:autoSpaceDE w:val="0"/>
              <w:autoSpaceDN w:val="0"/>
              <w:adjustRightInd w:val="0"/>
              <w:ind w:firstLine="425"/>
              <w:jc w:val="both"/>
              <w:rPr>
                <w:lang w:val="en-US"/>
              </w:rPr>
            </w:pPr>
            <w:r w:rsidRPr="008A5675">
              <w:rPr>
                <w:lang w:val="en-US"/>
              </w:rPr>
              <w:t>41) Nikkei 225 (</w:t>
            </w:r>
            <w:r>
              <w:t>Япония</w:t>
            </w:r>
            <w:r w:rsidRPr="008A5675">
              <w:rPr>
                <w:lang w:val="en-US"/>
              </w:rPr>
              <w:t>).</w:t>
            </w:r>
          </w:p>
        </w:tc>
        <w:tc>
          <w:tcPr>
            <w:tcW w:w="4961" w:type="dxa"/>
          </w:tcPr>
          <w:p w:rsidR="00715DA4" w:rsidRPr="00664A66" w:rsidRDefault="00715DA4" w:rsidP="00715DA4">
            <w:pPr>
              <w:tabs>
                <w:tab w:val="left" w:pos="451"/>
              </w:tabs>
              <w:ind w:firstLine="453"/>
              <w:jc w:val="both"/>
            </w:pPr>
            <w:r w:rsidRPr="00664A66">
              <w:t xml:space="preserve">23. Структура активов </w:t>
            </w:r>
            <w:r w:rsidR="00E77A12">
              <w:t>ф</w:t>
            </w:r>
            <w:r w:rsidRPr="00664A66">
              <w:t>онда должна одновременно соответствовать следующим требованиям:</w:t>
            </w:r>
          </w:p>
          <w:p w:rsidR="00715DA4" w:rsidRPr="00664A66" w:rsidRDefault="00715DA4" w:rsidP="00715DA4">
            <w:pPr>
              <w:tabs>
                <w:tab w:val="left" w:pos="451"/>
              </w:tabs>
              <w:ind w:firstLine="453"/>
              <w:jc w:val="both"/>
            </w:pPr>
            <w:r w:rsidRPr="00664A66">
              <w:t xml:space="preserve">23.1. Доля стоимости инструментов денежного рынка со сроком до погашения (закрытия) менее трех месяцев, </w:t>
            </w:r>
            <w:r w:rsidRPr="00664A66">
              <w:rPr>
                <w:b/>
              </w:rPr>
              <w:t>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664A66">
              <w:t xml:space="preserve">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23.5. настоящих Правил, от стоимости чистых активов фонда в совокупности должна превышать большую из следующих величин:</w:t>
            </w:r>
          </w:p>
          <w:p w:rsidR="00715DA4" w:rsidRPr="00664A66" w:rsidRDefault="00715DA4" w:rsidP="00715DA4">
            <w:pPr>
              <w:tabs>
                <w:tab w:val="left" w:pos="451"/>
              </w:tabs>
              <w:ind w:firstLine="453"/>
              <w:jc w:val="both"/>
            </w:pPr>
            <w:r w:rsidRPr="00664A66">
              <w:t>пять процентов;</w:t>
            </w:r>
          </w:p>
          <w:p w:rsidR="00715DA4" w:rsidRPr="00664A66" w:rsidRDefault="00715DA4" w:rsidP="00715DA4">
            <w:pPr>
              <w:tabs>
                <w:tab w:val="left" w:pos="451"/>
              </w:tabs>
              <w:ind w:firstLine="453"/>
              <w:jc w:val="both"/>
            </w:pPr>
            <w:r w:rsidRPr="00664A66">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t xml:space="preserve"> или обмена</w:t>
            </w:r>
            <w:r w:rsidRPr="00664A66">
              <w:t>,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715DA4" w:rsidRPr="00664A66" w:rsidRDefault="00715DA4" w:rsidP="00715DA4">
            <w:pPr>
              <w:tabs>
                <w:tab w:val="left" w:pos="451"/>
              </w:tabs>
              <w:ind w:firstLine="453"/>
              <w:jc w:val="both"/>
            </w:pPr>
            <w:r w:rsidRPr="00664A66">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715DA4" w:rsidRPr="00664A66" w:rsidRDefault="00715DA4" w:rsidP="00715DA4">
            <w:pPr>
              <w:tabs>
                <w:tab w:val="left" w:pos="451"/>
              </w:tabs>
              <w:ind w:firstLine="453"/>
              <w:jc w:val="both"/>
            </w:pPr>
            <w:r w:rsidRPr="00664A66">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715DA4" w:rsidRPr="00664A66" w:rsidRDefault="00715DA4" w:rsidP="00715DA4">
            <w:pPr>
              <w:tabs>
                <w:tab w:val="left" w:pos="451"/>
              </w:tabs>
              <w:ind w:firstLine="453"/>
              <w:jc w:val="both"/>
            </w:pPr>
            <w:r w:rsidRPr="00664A66">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w:t>
            </w:r>
            <w:r w:rsidRPr="00664A66">
              <w:rPr>
                <w:b/>
              </w:rPr>
              <w:t xml:space="preserve">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w:t>
            </w:r>
            <w:r w:rsidR="008A5675">
              <w:rPr>
                <w:b/>
              </w:rPr>
              <w:t xml:space="preserve">                          </w:t>
            </w:r>
            <w:r w:rsidRPr="00664A66">
              <w:rPr>
                <w:b/>
              </w:rPr>
              <w:t xml:space="preserve">14 процентов стоимости активов фонда, </w:t>
            </w:r>
            <w:r w:rsidR="008A5675">
              <w:rPr>
                <w:b/>
              </w:rPr>
              <w:t xml:space="preserve">     </w:t>
            </w:r>
            <w:r w:rsidRPr="00664A66">
              <w:rPr>
                <w:b/>
              </w:rPr>
              <w:t xml:space="preserve">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r w:rsidRPr="00664A66">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715DA4" w:rsidRPr="00664A66" w:rsidRDefault="00715DA4" w:rsidP="00715DA4">
            <w:pPr>
              <w:tabs>
                <w:tab w:val="left" w:pos="451"/>
              </w:tabs>
              <w:ind w:firstLine="453"/>
              <w:jc w:val="both"/>
              <w:rPr>
                <w:b/>
              </w:rPr>
            </w:pPr>
            <w:r w:rsidRPr="00664A66">
              <w:rPr>
                <w:b/>
              </w:rPr>
              <w:t>Оценочная стоимость ценных бумаг одного субъекта Российской Федерации</w:t>
            </w:r>
            <w:r w:rsidR="00E77A12">
              <w:rPr>
                <w:b/>
              </w:rPr>
              <w:t xml:space="preserve"> </w:t>
            </w:r>
            <w:r w:rsidR="00E77A12" w:rsidRPr="00D768C1">
              <w:rPr>
                <w:b/>
              </w:rPr>
              <w:t>(административно-территориального образования иностранного государства)</w:t>
            </w:r>
            <w:r w:rsidRPr="00664A66">
              <w:rPr>
                <w:b/>
              </w:rPr>
              <w:t xml:space="preserve">,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w:t>
            </w:r>
            <w:r w:rsidR="008A5675">
              <w:rPr>
                <w:b/>
              </w:rPr>
              <w:t xml:space="preserve">            </w:t>
            </w:r>
            <w:r w:rsidRPr="00664A66">
              <w:rPr>
                <w:b/>
              </w:rPr>
              <w:t xml:space="preserve">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w:t>
            </w:r>
            <w:r w:rsidR="008A5675">
              <w:rPr>
                <w:b/>
              </w:rPr>
              <w:t xml:space="preserve">                      </w:t>
            </w:r>
            <w:r w:rsidRPr="00664A66">
              <w:rPr>
                <w:b/>
              </w:rPr>
              <w:t>10 процентов стоимости активов фонда.</w:t>
            </w:r>
          </w:p>
          <w:p w:rsidR="00715DA4" w:rsidRPr="00664A66" w:rsidRDefault="00715DA4" w:rsidP="00715DA4">
            <w:pPr>
              <w:tabs>
                <w:tab w:val="left" w:pos="451"/>
              </w:tabs>
              <w:ind w:firstLine="453"/>
              <w:jc w:val="both"/>
            </w:pPr>
            <w:r w:rsidRPr="00664A66">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715DA4" w:rsidRPr="00664A66" w:rsidRDefault="00715DA4" w:rsidP="00715DA4">
            <w:pPr>
              <w:tabs>
                <w:tab w:val="left" w:pos="451"/>
              </w:tabs>
              <w:ind w:firstLine="453"/>
              <w:jc w:val="both"/>
            </w:pPr>
            <w:r w:rsidRPr="00664A66">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w:t>
            </w:r>
            <w:r w:rsidRPr="00664A66">
              <w:rPr>
                <w:b/>
              </w:rPr>
              <w:t xml:space="preserve">а также при наличии одного из следующих обстоятельств: в соответствии с требованиями, предъявляемыми к деятельности инвестиционного фонда, </w:t>
            </w:r>
            <w:r w:rsidR="008A5675">
              <w:rPr>
                <w:b/>
              </w:rPr>
              <w:t xml:space="preserve">            </w:t>
            </w:r>
            <w:r w:rsidRPr="00664A66">
              <w:rPr>
                <w:b/>
              </w:rPr>
              <w:t>или документами, регулирующими инвестиционную деятельность инвестиционного фонда</w:t>
            </w:r>
            <w:r w:rsidRPr="00664A66">
              <w:t xml:space="preserve">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Pr="00664A66">
              <w:rPr>
                <w:b/>
              </w:rPr>
              <w:t xml:space="preserve">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715DA4" w:rsidRPr="00664A66" w:rsidRDefault="00715DA4" w:rsidP="00715DA4">
            <w:pPr>
              <w:tabs>
                <w:tab w:val="left" w:pos="451"/>
              </w:tabs>
              <w:ind w:firstLine="453"/>
              <w:jc w:val="both"/>
            </w:pPr>
            <w:r w:rsidRPr="00664A66">
              <w:t xml:space="preserve">Для целей расчета ограничения, указанного в абзаце первом настоящего пункта, </w:t>
            </w:r>
            <w:r w:rsidRPr="00664A66">
              <w:rPr>
                <w:b/>
              </w:rPr>
              <w:t xml:space="preserve">при определении доли оценочной стоимости активов в стоимости активов фонда </w:t>
            </w:r>
            <w:r w:rsidRPr="00664A66">
              <w:t xml:space="preserve">в сумме денежных средств в рублях и в иностранной валюте на счетах в одном юридическом лице </w:t>
            </w:r>
            <w:r w:rsidRPr="00664A66">
              <w:rPr>
                <w:b/>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664A66">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w:t>
            </w:r>
            <w:r w:rsidRPr="00664A66">
              <w:rPr>
                <w:b/>
              </w:rPr>
              <w:t>и стоимость прав требований</w:t>
            </w:r>
            <w:r w:rsidRPr="00664A66">
              <w:t xml:space="preserve">, которые не учитываются при расчете </w:t>
            </w:r>
            <w:r w:rsidRPr="00664A66">
              <w:rPr>
                <w:b/>
              </w:rPr>
              <w:t>ограничения, указанного в абзаце</w:t>
            </w:r>
            <w:r w:rsidRPr="00664A66">
              <w:t xml:space="preserve"> </w:t>
            </w:r>
            <w:r w:rsidRPr="00664A66">
              <w:rPr>
                <w:b/>
              </w:rPr>
              <w:t>первом настоящего пункта</w:t>
            </w:r>
            <w:r w:rsidRPr="00664A66">
              <w:t xml:space="preserve">, в отношении всех денежных средств в рублях и в иностранной валюте на всех счетах </w:t>
            </w:r>
            <w:r w:rsidRPr="00664A66">
              <w:rPr>
                <w:b/>
              </w:rPr>
              <w:t>и в отношении всех прав требований к юридическим лицам, возникших на основании указанных договоров о брокерском обслуживании</w:t>
            </w:r>
            <w:r w:rsidRPr="00664A66">
              <w:t xml:space="preserve">, составляющих фонд, в совокупности не должны превышать общую сумму денежных средств, подлежащих выплате в связи </w:t>
            </w:r>
            <w:r w:rsidRPr="00A638FE">
              <w:t>с погашением или обменом инвестиционных паев фонда на момент расчета ограничения.</w:t>
            </w:r>
          </w:p>
          <w:p w:rsidR="00715DA4" w:rsidRPr="00664A66" w:rsidRDefault="00715DA4" w:rsidP="00715DA4">
            <w:pPr>
              <w:tabs>
                <w:tab w:val="left" w:pos="451"/>
              </w:tabs>
              <w:ind w:firstLine="453"/>
              <w:jc w:val="both"/>
              <w:rPr>
                <w:b/>
              </w:rPr>
            </w:pPr>
            <w:r w:rsidRPr="00664A66">
              <w:rPr>
                <w:b/>
              </w:rPr>
              <w:t>Для целей расчета ограничени</w:t>
            </w:r>
            <w:r w:rsidR="00172BD6">
              <w:rPr>
                <w:b/>
              </w:rPr>
              <w:t>я</w:t>
            </w:r>
            <w:r w:rsidRPr="00664A66">
              <w:rPr>
                <w:b/>
              </w:rPr>
              <w:t>, указанн</w:t>
            </w:r>
            <w:r w:rsidR="00172BD6">
              <w:rPr>
                <w:b/>
              </w:rPr>
              <w:t>ого</w:t>
            </w:r>
            <w:r w:rsidRPr="00664A66">
              <w:rPr>
                <w:b/>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715DA4" w:rsidRPr="00664A66" w:rsidRDefault="00715DA4" w:rsidP="00715DA4">
            <w:pPr>
              <w:tabs>
                <w:tab w:val="left" w:pos="451"/>
              </w:tabs>
              <w:ind w:firstLine="453"/>
              <w:jc w:val="both"/>
            </w:pPr>
            <w:r w:rsidRPr="00664A66">
              <w:t xml:space="preserve">23.3.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иным сделкам, </w:t>
            </w:r>
            <w:r w:rsidRPr="00664A66">
              <w:rPr>
                <w:b/>
              </w:rPr>
              <w:t>дата исполнения которых не ранее 4 рабочих дней с даты заключения сделки</w:t>
            </w:r>
            <w:r w:rsidRPr="00664A66">
              <w:t>,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715DA4" w:rsidRDefault="00715DA4" w:rsidP="00715DA4">
            <w:pPr>
              <w:tabs>
                <w:tab w:val="left" w:pos="451"/>
              </w:tabs>
              <w:ind w:firstLine="453"/>
              <w:jc w:val="both"/>
            </w:pPr>
            <w:r w:rsidRPr="00664A66">
              <w:t xml:space="preserve">На дату заключения сделок с производными финансовыми инструментами, договоров займа, кредитных договоров или сделок, </w:t>
            </w:r>
            <w:r w:rsidRPr="00664A66">
              <w:rPr>
                <w:b/>
              </w:rPr>
              <w:t>дата исполнения которых не ранее 4 рабочих дней с даты заключения сделки</w:t>
            </w:r>
            <w:r w:rsidRPr="00664A66">
              <w:t>,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715DA4" w:rsidRPr="00664A66" w:rsidRDefault="00715DA4" w:rsidP="00715DA4">
            <w:pPr>
              <w:tabs>
                <w:tab w:val="left" w:pos="451"/>
              </w:tabs>
              <w:ind w:firstLine="453"/>
              <w:jc w:val="both"/>
            </w:pPr>
            <w:r w:rsidRPr="00664A66">
              <w:t xml:space="preserve">Для целей настоящего пункта </w:t>
            </w:r>
            <w:r w:rsidRPr="00664A66">
              <w:rPr>
                <w:b/>
              </w:rPr>
              <w:t>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r w:rsidRPr="00664A66">
              <w:t>.</w:t>
            </w:r>
          </w:p>
          <w:p w:rsidR="00715DA4" w:rsidRPr="00664A66" w:rsidRDefault="00715DA4" w:rsidP="00715DA4">
            <w:pPr>
              <w:tabs>
                <w:tab w:val="left" w:pos="451"/>
              </w:tabs>
              <w:ind w:firstLine="453"/>
              <w:jc w:val="both"/>
            </w:pPr>
            <w:r w:rsidRPr="00664A66">
              <w:t>Для целей абзаца первого и второго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715DA4" w:rsidRPr="00664A66" w:rsidRDefault="00715DA4" w:rsidP="00715DA4">
            <w:pPr>
              <w:tabs>
                <w:tab w:val="left" w:pos="451"/>
              </w:tabs>
              <w:ind w:firstLine="453"/>
              <w:jc w:val="both"/>
            </w:pPr>
            <w:r w:rsidRPr="00664A66">
              <w:t xml:space="preserve">23.4. Требования пункта 23 настоящих Правил применяются до даты возникновения основания прекращения фонда. </w:t>
            </w:r>
          </w:p>
          <w:p w:rsidR="00825F25" w:rsidRDefault="00825F25" w:rsidP="00825F25">
            <w:pPr>
              <w:tabs>
                <w:tab w:val="left" w:pos="451"/>
              </w:tabs>
              <w:ind w:firstLine="453"/>
              <w:jc w:val="both"/>
            </w:pPr>
            <w:r>
              <w:t>23.5. Перечень фондовых индексов:</w:t>
            </w:r>
          </w:p>
          <w:p w:rsidR="00825F25" w:rsidRDefault="00825F25" w:rsidP="00825F25">
            <w:pPr>
              <w:tabs>
                <w:tab w:val="left" w:pos="451"/>
              </w:tabs>
              <w:ind w:firstLine="453"/>
              <w:jc w:val="both"/>
            </w:pPr>
            <w:r>
              <w:t>1)</w:t>
            </w:r>
            <w:r>
              <w:tab/>
              <w:t xml:space="preserve"> S&amp;P/ASX-200 (Австралия)</w:t>
            </w:r>
          </w:p>
          <w:p w:rsidR="00825F25" w:rsidRDefault="00825F25" w:rsidP="00825F25">
            <w:pPr>
              <w:tabs>
                <w:tab w:val="left" w:pos="451"/>
              </w:tabs>
              <w:ind w:firstLine="453"/>
              <w:jc w:val="both"/>
            </w:pPr>
            <w:r>
              <w:t>2)</w:t>
            </w:r>
            <w:r>
              <w:tab/>
              <w:t xml:space="preserve"> АТХ (Австрия)</w:t>
            </w:r>
          </w:p>
          <w:p w:rsidR="00825F25" w:rsidRDefault="00825F25" w:rsidP="00825F25">
            <w:pPr>
              <w:tabs>
                <w:tab w:val="left" w:pos="451"/>
              </w:tabs>
              <w:ind w:firstLine="453"/>
              <w:jc w:val="both"/>
            </w:pPr>
            <w:r>
              <w:t>3)</w:t>
            </w:r>
            <w:r>
              <w:tab/>
              <w:t xml:space="preserve"> BEL20 (Бельгия)</w:t>
            </w:r>
          </w:p>
          <w:p w:rsidR="00825F25" w:rsidRDefault="00825F25" w:rsidP="00825F25">
            <w:pPr>
              <w:tabs>
                <w:tab w:val="left" w:pos="451"/>
              </w:tabs>
              <w:ind w:firstLine="453"/>
              <w:jc w:val="both"/>
            </w:pPr>
            <w:r>
              <w:t>4)</w:t>
            </w:r>
            <w:r>
              <w:tab/>
              <w:t xml:space="preserve"> Bovespa Index (Бразилия)</w:t>
            </w:r>
          </w:p>
          <w:p w:rsidR="00825F25" w:rsidRDefault="00825F25" w:rsidP="00825F25">
            <w:pPr>
              <w:tabs>
                <w:tab w:val="left" w:pos="451"/>
              </w:tabs>
              <w:ind w:firstLine="453"/>
              <w:jc w:val="both"/>
            </w:pPr>
            <w:r>
              <w:t>5)</w:t>
            </w:r>
            <w:r>
              <w:tab/>
              <w:t xml:space="preserve"> BUX (Венгрия)</w:t>
            </w:r>
          </w:p>
          <w:p w:rsidR="00825F25" w:rsidRDefault="00825F25" w:rsidP="00825F25">
            <w:pPr>
              <w:tabs>
                <w:tab w:val="left" w:pos="451"/>
              </w:tabs>
              <w:ind w:firstLine="453"/>
              <w:jc w:val="both"/>
            </w:pPr>
            <w:r>
              <w:t>6)</w:t>
            </w:r>
            <w:r>
              <w:tab/>
              <w:t xml:space="preserve"> FTSE 100 (Великобритания)</w:t>
            </w:r>
          </w:p>
          <w:p w:rsidR="00825F25" w:rsidRDefault="00825F25" w:rsidP="00825F25">
            <w:pPr>
              <w:tabs>
                <w:tab w:val="left" w:pos="451"/>
              </w:tabs>
              <w:ind w:firstLine="453"/>
              <w:jc w:val="both"/>
            </w:pPr>
            <w:r>
              <w:t>7)</w:t>
            </w:r>
            <w:r>
              <w:tab/>
              <w:t xml:space="preserve"> Hang Seng (Гонконг)</w:t>
            </w:r>
          </w:p>
          <w:p w:rsidR="00825F25" w:rsidRDefault="00825F25" w:rsidP="00825F25">
            <w:pPr>
              <w:tabs>
                <w:tab w:val="left" w:pos="451"/>
              </w:tabs>
              <w:ind w:firstLine="453"/>
              <w:jc w:val="both"/>
            </w:pPr>
            <w:r>
              <w:t>8)</w:t>
            </w:r>
            <w:r>
              <w:tab/>
              <w:t xml:space="preserve"> DАХ (Германия)</w:t>
            </w:r>
          </w:p>
          <w:p w:rsidR="00825F25" w:rsidRDefault="00825F25" w:rsidP="00825F25">
            <w:pPr>
              <w:tabs>
                <w:tab w:val="left" w:pos="451"/>
              </w:tabs>
              <w:ind w:firstLine="453"/>
              <w:jc w:val="both"/>
            </w:pPr>
            <w:r>
              <w:t>9)</w:t>
            </w:r>
            <w:r>
              <w:tab/>
              <w:t xml:space="preserve"> ОМХ Copenhagen 20 (Дания)</w:t>
            </w:r>
          </w:p>
          <w:p w:rsidR="00825F25" w:rsidRPr="00825F25" w:rsidRDefault="00825F25" w:rsidP="00825F25">
            <w:pPr>
              <w:tabs>
                <w:tab w:val="left" w:pos="451"/>
              </w:tabs>
              <w:ind w:firstLine="453"/>
              <w:jc w:val="both"/>
              <w:rPr>
                <w:lang w:val="en-US"/>
              </w:rPr>
            </w:pPr>
            <w:r w:rsidRPr="00825F25">
              <w:rPr>
                <w:lang w:val="en-US"/>
              </w:rPr>
              <w:t xml:space="preserve">10) </w:t>
            </w:r>
            <w:r>
              <w:t>ТА</w:t>
            </w:r>
            <w:r w:rsidRPr="00825F25">
              <w:rPr>
                <w:lang w:val="en-US"/>
              </w:rPr>
              <w:t>-35 (</w:t>
            </w:r>
            <w:r>
              <w:t>Израиль</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11) S&amp;P BSE SENSEX (</w:t>
            </w:r>
            <w:r>
              <w:t>Индия</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12) ISEQ 20 (</w:t>
            </w:r>
            <w:r>
              <w:t>Ирландия</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13) OMX Iceland 8 (</w:t>
            </w:r>
            <w:r>
              <w:t>Исландия</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14) IBEX 35 (</w:t>
            </w:r>
            <w:r>
              <w:t>Испания</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15) FTSE MIB (</w:t>
            </w:r>
            <w:r>
              <w:t>Италия</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16) S&amp;P/TSX Composite (</w:t>
            </w:r>
            <w:r>
              <w:t>Канада</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17) Shanghai SE Composite (</w:t>
            </w:r>
            <w:r>
              <w:t>Китай</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18) LuxX (</w:t>
            </w:r>
            <w:r>
              <w:t>Люксембург</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19) IPC (</w:t>
            </w:r>
            <w:r>
              <w:t>Мексика</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 xml:space="preserve">20) </w:t>
            </w:r>
            <w:r>
              <w:t>АЕХ</w:t>
            </w:r>
            <w:r w:rsidRPr="00825F25">
              <w:rPr>
                <w:lang w:val="en-US"/>
              </w:rPr>
              <w:t xml:space="preserve"> Index (</w:t>
            </w:r>
            <w:r>
              <w:t>Нидерланды</w:t>
            </w:r>
            <w:r w:rsidRPr="00825F25">
              <w:rPr>
                <w:lang w:val="en-US"/>
              </w:rPr>
              <w:t>)</w:t>
            </w:r>
          </w:p>
          <w:p w:rsidR="00825F25" w:rsidRDefault="00825F25" w:rsidP="00825F25">
            <w:pPr>
              <w:tabs>
                <w:tab w:val="left" w:pos="451"/>
              </w:tabs>
              <w:ind w:firstLine="453"/>
              <w:jc w:val="both"/>
            </w:pPr>
            <w:r>
              <w:t>21) S&amp;P/NZX 50 (Новая Зеландия)</w:t>
            </w:r>
          </w:p>
          <w:p w:rsidR="00825F25" w:rsidRDefault="00825F25" w:rsidP="00825F25">
            <w:pPr>
              <w:tabs>
                <w:tab w:val="left" w:pos="451"/>
              </w:tabs>
              <w:ind w:firstLine="453"/>
              <w:jc w:val="both"/>
            </w:pPr>
            <w:r>
              <w:t>22) OBX (Норвегия)</w:t>
            </w:r>
          </w:p>
          <w:p w:rsidR="00825F25" w:rsidRDefault="00825F25" w:rsidP="00825F25">
            <w:pPr>
              <w:tabs>
                <w:tab w:val="left" w:pos="451"/>
              </w:tabs>
              <w:ind w:firstLine="453"/>
              <w:jc w:val="both"/>
            </w:pPr>
            <w:r>
              <w:t>23) WIG (Польша)</w:t>
            </w:r>
          </w:p>
          <w:p w:rsidR="00825F25" w:rsidRDefault="00825F25" w:rsidP="00825F25">
            <w:pPr>
              <w:tabs>
                <w:tab w:val="left" w:pos="451"/>
              </w:tabs>
              <w:ind w:firstLine="453"/>
              <w:jc w:val="both"/>
            </w:pPr>
            <w:r>
              <w:t>24) PSI 20 (Португалия)</w:t>
            </w:r>
          </w:p>
          <w:p w:rsidR="00825F25" w:rsidRDefault="00825F25" w:rsidP="00825F25">
            <w:pPr>
              <w:tabs>
                <w:tab w:val="left" w:pos="451"/>
              </w:tabs>
              <w:ind w:firstLine="453"/>
              <w:jc w:val="both"/>
            </w:pPr>
            <w:r>
              <w:t>25) Индекс МосБиржи (Россия)</w:t>
            </w:r>
          </w:p>
          <w:p w:rsidR="00825F25" w:rsidRDefault="00825F25" w:rsidP="00825F25">
            <w:pPr>
              <w:tabs>
                <w:tab w:val="left" w:pos="451"/>
              </w:tabs>
              <w:ind w:firstLine="453"/>
              <w:jc w:val="both"/>
            </w:pPr>
            <w:r>
              <w:t>26) Индекс РТС (Россия)</w:t>
            </w:r>
          </w:p>
          <w:p w:rsidR="00825F25" w:rsidRDefault="00825F25" w:rsidP="00825F25">
            <w:pPr>
              <w:tabs>
                <w:tab w:val="left" w:pos="451"/>
              </w:tabs>
              <w:ind w:firstLine="453"/>
              <w:jc w:val="both"/>
            </w:pPr>
            <w:r>
              <w:t>27) SAX (Словакия)</w:t>
            </w:r>
          </w:p>
          <w:p w:rsidR="00825F25" w:rsidRDefault="00825F25" w:rsidP="00825F25">
            <w:pPr>
              <w:tabs>
                <w:tab w:val="left" w:pos="451"/>
              </w:tabs>
              <w:ind w:firstLine="453"/>
              <w:jc w:val="both"/>
            </w:pPr>
            <w:r>
              <w:t>28) SBI TOP (Словения)</w:t>
            </w:r>
          </w:p>
          <w:p w:rsidR="00825F25" w:rsidRPr="00825F25" w:rsidRDefault="00825F25" w:rsidP="00825F25">
            <w:pPr>
              <w:tabs>
                <w:tab w:val="left" w:pos="451"/>
              </w:tabs>
              <w:ind w:firstLine="453"/>
              <w:jc w:val="both"/>
              <w:rPr>
                <w:lang w:val="en-US"/>
              </w:rPr>
            </w:pPr>
            <w:r w:rsidRPr="00825F25">
              <w:rPr>
                <w:lang w:val="en-US"/>
              </w:rPr>
              <w:t>29) Dow Jones (</w:t>
            </w:r>
            <w:r>
              <w:t>США</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30) S&amp;P 500 (</w:t>
            </w:r>
            <w:r>
              <w:t>США</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31) BIST 100 (</w:t>
            </w:r>
            <w:r>
              <w:t>Турция</w:t>
            </w:r>
            <w:r w:rsidRPr="00825F25">
              <w:rPr>
                <w:lang w:val="en-US"/>
              </w:rPr>
              <w:t>)</w:t>
            </w:r>
          </w:p>
          <w:p w:rsidR="00825F25" w:rsidRPr="00825F25" w:rsidRDefault="00825F25" w:rsidP="00825F25">
            <w:pPr>
              <w:tabs>
                <w:tab w:val="left" w:pos="451"/>
              </w:tabs>
              <w:ind w:firstLine="453"/>
              <w:jc w:val="both"/>
              <w:rPr>
                <w:lang w:val="en-US"/>
              </w:rPr>
            </w:pPr>
            <w:r w:rsidRPr="00825F25">
              <w:rPr>
                <w:lang w:val="en-US"/>
              </w:rPr>
              <w:t xml:space="preserve">32) </w:t>
            </w:r>
            <w:r>
              <w:t>ОМХ</w:t>
            </w:r>
            <w:r w:rsidRPr="00825F25">
              <w:rPr>
                <w:lang w:val="en-US"/>
              </w:rPr>
              <w:t xml:space="preserve"> Helsinki 25 (</w:t>
            </w:r>
            <w:r>
              <w:t>Финляндия</w:t>
            </w:r>
            <w:r w:rsidRPr="00825F25">
              <w:rPr>
                <w:lang w:val="en-US"/>
              </w:rPr>
              <w:t>)</w:t>
            </w:r>
          </w:p>
          <w:p w:rsidR="00825F25" w:rsidRDefault="00825F25" w:rsidP="00825F25">
            <w:pPr>
              <w:tabs>
                <w:tab w:val="left" w:pos="451"/>
              </w:tabs>
              <w:ind w:firstLine="453"/>
              <w:jc w:val="both"/>
            </w:pPr>
            <w:r>
              <w:t>33) САС 40 (Франция)</w:t>
            </w:r>
          </w:p>
          <w:p w:rsidR="00825F25" w:rsidRDefault="00825F25" w:rsidP="00825F25">
            <w:pPr>
              <w:tabs>
                <w:tab w:val="left" w:pos="451"/>
              </w:tabs>
              <w:ind w:firstLine="453"/>
              <w:jc w:val="both"/>
            </w:pPr>
            <w:r>
              <w:t>34) РХ Index (Чешская республика)</w:t>
            </w:r>
          </w:p>
          <w:p w:rsidR="00825F25" w:rsidRPr="00C67C80" w:rsidRDefault="00825F25" w:rsidP="00825F25">
            <w:pPr>
              <w:tabs>
                <w:tab w:val="left" w:pos="451"/>
              </w:tabs>
              <w:ind w:firstLine="453"/>
              <w:jc w:val="both"/>
              <w:rPr>
                <w:lang w:val="en-US"/>
              </w:rPr>
            </w:pPr>
            <w:r w:rsidRPr="00C67C80">
              <w:rPr>
                <w:lang w:val="en-US"/>
              </w:rPr>
              <w:t>35) S&amp;P/CLX IPSA (</w:t>
            </w:r>
            <w:r>
              <w:t>Чили</w:t>
            </w:r>
            <w:r w:rsidRPr="00C67C80">
              <w:rPr>
                <w:lang w:val="en-US"/>
              </w:rPr>
              <w:t>)</w:t>
            </w:r>
          </w:p>
          <w:p w:rsidR="00825F25" w:rsidRPr="00C67C80" w:rsidRDefault="00825F25" w:rsidP="00825F25">
            <w:pPr>
              <w:tabs>
                <w:tab w:val="left" w:pos="451"/>
              </w:tabs>
              <w:ind w:firstLine="453"/>
              <w:jc w:val="both"/>
              <w:rPr>
                <w:lang w:val="en-US"/>
              </w:rPr>
            </w:pPr>
            <w:r w:rsidRPr="00C67C80">
              <w:rPr>
                <w:lang w:val="en-US"/>
              </w:rPr>
              <w:t>36) SMI (</w:t>
            </w:r>
            <w:r>
              <w:t>Швейцария</w:t>
            </w:r>
            <w:r w:rsidRPr="00C67C80">
              <w:rPr>
                <w:lang w:val="en-US"/>
              </w:rPr>
              <w:t>)</w:t>
            </w:r>
          </w:p>
          <w:p w:rsidR="00825F25" w:rsidRPr="00C67C80" w:rsidRDefault="00825F25" w:rsidP="00825F25">
            <w:pPr>
              <w:tabs>
                <w:tab w:val="left" w:pos="451"/>
              </w:tabs>
              <w:ind w:firstLine="453"/>
              <w:jc w:val="both"/>
              <w:rPr>
                <w:lang w:val="en-US"/>
              </w:rPr>
            </w:pPr>
            <w:r w:rsidRPr="00C67C80">
              <w:rPr>
                <w:lang w:val="en-US"/>
              </w:rPr>
              <w:t>37) OMX Stockholm 30 (</w:t>
            </w:r>
            <w:r>
              <w:t>Швеция</w:t>
            </w:r>
            <w:r w:rsidRPr="00C67C80">
              <w:rPr>
                <w:lang w:val="en-US"/>
              </w:rPr>
              <w:t>)</w:t>
            </w:r>
          </w:p>
          <w:p w:rsidR="00825F25" w:rsidRPr="00C67C80" w:rsidRDefault="00825F25" w:rsidP="00825F25">
            <w:pPr>
              <w:tabs>
                <w:tab w:val="left" w:pos="451"/>
              </w:tabs>
              <w:ind w:firstLine="453"/>
              <w:jc w:val="both"/>
              <w:rPr>
                <w:lang w:val="en-US"/>
              </w:rPr>
            </w:pPr>
            <w:r w:rsidRPr="00C67C80">
              <w:rPr>
                <w:lang w:val="en-US"/>
              </w:rPr>
              <w:t>38) OMX TALLINN_Gl (</w:t>
            </w:r>
            <w:r>
              <w:t>Эстония</w:t>
            </w:r>
            <w:r w:rsidRPr="00C67C80">
              <w:rPr>
                <w:lang w:val="en-US"/>
              </w:rPr>
              <w:t>)</w:t>
            </w:r>
          </w:p>
          <w:p w:rsidR="00825F25" w:rsidRPr="00C67C80" w:rsidRDefault="00825F25" w:rsidP="00825F25">
            <w:pPr>
              <w:tabs>
                <w:tab w:val="left" w:pos="451"/>
              </w:tabs>
              <w:ind w:firstLine="453"/>
              <w:jc w:val="both"/>
              <w:rPr>
                <w:lang w:val="en-US"/>
              </w:rPr>
            </w:pPr>
            <w:r w:rsidRPr="00C67C80">
              <w:rPr>
                <w:lang w:val="en-US"/>
              </w:rPr>
              <w:t xml:space="preserve">39) FTSE/JSE </w:t>
            </w:r>
            <w:r>
              <w:t>Тор</w:t>
            </w:r>
            <w:r w:rsidRPr="00C67C80">
              <w:rPr>
                <w:lang w:val="en-US"/>
              </w:rPr>
              <w:t>40 (</w:t>
            </w:r>
            <w:r>
              <w:t>ЮАР</w:t>
            </w:r>
            <w:r w:rsidRPr="00C67C80">
              <w:rPr>
                <w:lang w:val="en-US"/>
              </w:rPr>
              <w:t>)</w:t>
            </w:r>
          </w:p>
          <w:p w:rsidR="00825F25" w:rsidRPr="00C67C80" w:rsidRDefault="00825F25" w:rsidP="00825F25">
            <w:pPr>
              <w:tabs>
                <w:tab w:val="left" w:pos="451"/>
              </w:tabs>
              <w:ind w:firstLine="453"/>
              <w:jc w:val="both"/>
              <w:rPr>
                <w:lang w:val="en-US"/>
              </w:rPr>
            </w:pPr>
            <w:r w:rsidRPr="00C67C80">
              <w:rPr>
                <w:lang w:val="en-US"/>
              </w:rPr>
              <w:t>40) KOSPI (</w:t>
            </w:r>
            <w:r>
              <w:t>Южная</w:t>
            </w:r>
            <w:r w:rsidRPr="00C67C80">
              <w:rPr>
                <w:lang w:val="en-US"/>
              </w:rPr>
              <w:t xml:space="preserve"> </w:t>
            </w:r>
            <w:r>
              <w:t>Корея</w:t>
            </w:r>
            <w:r w:rsidRPr="00C67C80">
              <w:rPr>
                <w:lang w:val="en-US"/>
              </w:rPr>
              <w:t>)</w:t>
            </w:r>
          </w:p>
          <w:p w:rsidR="00825F25" w:rsidRPr="00C67C80" w:rsidRDefault="00825F25" w:rsidP="00825F25">
            <w:pPr>
              <w:tabs>
                <w:tab w:val="left" w:pos="451"/>
              </w:tabs>
              <w:ind w:firstLine="453"/>
              <w:jc w:val="both"/>
              <w:rPr>
                <w:lang w:val="en-US"/>
              </w:rPr>
            </w:pPr>
            <w:r w:rsidRPr="00C67C80">
              <w:rPr>
                <w:lang w:val="en-US"/>
              </w:rPr>
              <w:t>41) Nikkei 225 (</w:t>
            </w:r>
            <w:r>
              <w:t>Япония</w:t>
            </w:r>
            <w:r w:rsidRPr="00C67C80">
              <w:rPr>
                <w:lang w:val="en-US"/>
              </w:rPr>
              <w:t>)</w:t>
            </w:r>
          </w:p>
          <w:p w:rsidR="00715DA4" w:rsidRPr="00825F25" w:rsidRDefault="00825F25" w:rsidP="00C67C80">
            <w:pPr>
              <w:tabs>
                <w:tab w:val="left" w:pos="451"/>
              </w:tabs>
              <w:ind w:firstLine="453"/>
              <w:jc w:val="both"/>
            </w:pPr>
            <w:r>
              <w:t>42) Индекс МосБиржи голубых фишек (Россия).</w:t>
            </w:r>
          </w:p>
        </w:tc>
      </w:tr>
      <w:tr w:rsidR="000A3087" w:rsidTr="00FB1940">
        <w:trPr>
          <w:trHeight w:val="1189"/>
        </w:trPr>
        <w:tc>
          <w:tcPr>
            <w:tcW w:w="4957" w:type="dxa"/>
          </w:tcPr>
          <w:p w:rsidR="000A3087" w:rsidRPr="007F7AD9" w:rsidRDefault="000A3087" w:rsidP="000A3087">
            <w:pPr>
              <w:tabs>
                <w:tab w:val="left" w:pos="9072"/>
              </w:tabs>
              <w:autoSpaceDE w:val="0"/>
              <w:autoSpaceDN w:val="0"/>
              <w:adjustRightInd w:val="0"/>
              <w:ind w:firstLine="425"/>
              <w:jc w:val="both"/>
            </w:pPr>
            <w:r w:rsidRPr="007F7AD9">
              <w:t xml:space="preserve">24. Описание рисков, связанных с инвестированием. </w:t>
            </w:r>
          </w:p>
          <w:p w:rsidR="000A3087" w:rsidRPr="007F7AD9" w:rsidRDefault="000A3087" w:rsidP="000A3087">
            <w:pPr>
              <w:tabs>
                <w:tab w:val="left" w:pos="9072"/>
              </w:tabs>
              <w:autoSpaceDE w:val="0"/>
              <w:autoSpaceDN w:val="0"/>
              <w:adjustRightInd w:val="0"/>
              <w:ind w:firstLine="425"/>
              <w:jc w:val="both"/>
            </w:pPr>
            <w:r w:rsidRPr="007F7AD9">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0A3087" w:rsidRPr="007F7AD9" w:rsidRDefault="000A3087" w:rsidP="000A3087">
            <w:pPr>
              <w:tabs>
                <w:tab w:val="left" w:pos="9072"/>
              </w:tabs>
              <w:autoSpaceDE w:val="0"/>
              <w:autoSpaceDN w:val="0"/>
              <w:adjustRightInd w:val="0"/>
              <w:ind w:firstLine="425"/>
              <w:jc w:val="both"/>
            </w:pPr>
            <w:r w:rsidRPr="007F7AD9">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 </w:t>
            </w:r>
          </w:p>
          <w:p w:rsidR="000A3087" w:rsidRPr="007F7AD9" w:rsidRDefault="000A3087" w:rsidP="000A3087">
            <w:pPr>
              <w:tabs>
                <w:tab w:val="left" w:pos="9072"/>
              </w:tabs>
              <w:autoSpaceDE w:val="0"/>
              <w:autoSpaceDN w:val="0"/>
              <w:adjustRightInd w:val="0"/>
              <w:ind w:firstLine="425"/>
              <w:jc w:val="both"/>
            </w:pPr>
            <w:r w:rsidRPr="007F7AD9">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0A3087" w:rsidRPr="007F7AD9" w:rsidRDefault="000A3087" w:rsidP="000A3087">
            <w:pPr>
              <w:tabs>
                <w:tab w:val="left" w:pos="9072"/>
              </w:tabs>
              <w:autoSpaceDE w:val="0"/>
              <w:autoSpaceDN w:val="0"/>
              <w:adjustRightInd w:val="0"/>
              <w:ind w:firstLine="425"/>
              <w:jc w:val="both"/>
            </w:pPr>
            <w:r w:rsidRPr="007F7AD9">
              <w:t xml:space="preserve">Риски инвестирования в ценные бумаги включают, но не ограничиваются следующими рисками: </w:t>
            </w:r>
          </w:p>
          <w:p w:rsidR="000A3087" w:rsidRPr="007F7AD9" w:rsidRDefault="000A3087" w:rsidP="000A3087">
            <w:pPr>
              <w:tabs>
                <w:tab w:val="left" w:pos="9072"/>
              </w:tabs>
              <w:autoSpaceDE w:val="0"/>
              <w:autoSpaceDN w:val="0"/>
              <w:adjustRightInd w:val="0"/>
              <w:ind w:firstLine="425"/>
              <w:jc w:val="both"/>
            </w:pPr>
            <w:r w:rsidRPr="007F7AD9">
              <w:t xml:space="preserve">- политические и экономические риски, связанные с возможностью изменения политической ситуации, как внутри страны, так и за ее пределами,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0A3087" w:rsidRPr="007F7AD9" w:rsidRDefault="000A3087" w:rsidP="000A3087">
            <w:pPr>
              <w:tabs>
                <w:tab w:val="left" w:pos="9072"/>
              </w:tabs>
              <w:autoSpaceDE w:val="0"/>
              <w:autoSpaceDN w:val="0"/>
              <w:adjustRightInd w:val="0"/>
              <w:ind w:firstLine="425"/>
              <w:jc w:val="both"/>
            </w:pPr>
            <w:r w:rsidRPr="007F7AD9">
              <w:t xml:space="preserve">-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 </w:t>
            </w:r>
          </w:p>
          <w:p w:rsidR="000A3087" w:rsidRPr="007F7AD9" w:rsidRDefault="000A3087" w:rsidP="000A3087">
            <w:pPr>
              <w:tabs>
                <w:tab w:val="left" w:pos="9072"/>
              </w:tabs>
              <w:autoSpaceDE w:val="0"/>
              <w:autoSpaceDN w:val="0"/>
              <w:adjustRightInd w:val="0"/>
              <w:ind w:firstLine="425"/>
              <w:jc w:val="both"/>
            </w:pPr>
            <w:r w:rsidRPr="007F7AD9">
              <w:t xml:space="preserve">- рыночный риск, связанный с колебаниями курсов валют, инфляции, процентных ставок, и т.д., в том числе ценовой риск, проявляющийся в изменении цен на ценные бумаги, которое может привести к падению стоимости активов фонда; </w:t>
            </w:r>
          </w:p>
          <w:p w:rsidR="000A3087" w:rsidRPr="007F7AD9" w:rsidRDefault="000A3087" w:rsidP="000A3087">
            <w:pPr>
              <w:tabs>
                <w:tab w:val="left" w:pos="9072"/>
              </w:tabs>
              <w:autoSpaceDE w:val="0"/>
              <w:autoSpaceDN w:val="0"/>
              <w:adjustRightInd w:val="0"/>
              <w:ind w:firstLine="425"/>
              <w:jc w:val="both"/>
            </w:pPr>
            <w:r w:rsidRPr="007F7AD9">
              <w:t xml:space="preserve">- кредитный риск, связанный, в частности, с возможностью неисполнения принятых обязательств со стороны эмитентов ценных бумаг и контрагентов по сделкам; </w:t>
            </w:r>
          </w:p>
          <w:p w:rsidR="000A3087" w:rsidRPr="007F7AD9" w:rsidRDefault="000A3087" w:rsidP="000A3087">
            <w:pPr>
              <w:tabs>
                <w:tab w:val="left" w:pos="9072"/>
              </w:tabs>
              <w:autoSpaceDE w:val="0"/>
              <w:autoSpaceDN w:val="0"/>
              <w:adjustRightInd w:val="0"/>
              <w:ind w:firstLine="425"/>
              <w:jc w:val="both"/>
            </w:pPr>
            <w:r w:rsidRPr="007F7AD9">
              <w:t xml:space="preserve">- риск рыночной ликвидности, связанный с потенциальной невозможностью реализовать активы по благоприятным ценам; </w:t>
            </w:r>
          </w:p>
          <w:p w:rsidR="000A3087" w:rsidRPr="007F7AD9" w:rsidRDefault="000A3087" w:rsidP="000A3087">
            <w:pPr>
              <w:tabs>
                <w:tab w:val="left" w:pos="9072"/>
              </w:tabs>
              <w:autoSpaceDE w:val="0"/>
              <w:autoSpaceDN w:val="0"/>
              <w:adjustRightInd w:val="0"/>
              <w:ind w:firstLine="425"/>
              <w:jc w:val="both"/>
            </w:pPr>
            <w:r w:rsidRPr="007F7AD9">
              <w:t xml:space="preserve">-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 </w:t>
            </w:r>
          </w:p>
          <w:p w:rsidR="000A3087" w:rsidRPr="007F7AD9" w:rsidRDefault="000A3087" w:rsidP="000A3087">
            <w:pPr>
              <w:tabs>
                <w:tab w:val="left" w:pos="9072"/>
              </w:tabs>
              <w:autoSpaceDE w:val="0"/>
              <w:autoSpaceDN w:val="0"/>
              <w:adjustRightInd w:val="0"/>
              <w:ind w:firstLine="425"/>
              <w:jc w:val="both"/>
            </w:pPr>
            <w:r w:rsidRPr="007F7AD9">
              <w:t xml:space="preserve">- регуляционный риск, связанный с непредсказуемостью изменений действующего законодательства, а также с несовершенством законов и прочих нормативных документов, касающихся рынка ценных бумаг. Данный вид риска включает в себя также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w:t>
            </w:r>
          </w:p>
          <w:p w:rsidR="000A3087" w:rsidRPr="007F7AD9" w:rsidRDefault="000A3087" w:rsidP="000A3087">
            <w:pPr>
              <w:tabs>
                <w:tab w:val="left" w:pos="9072"/>
              </w:tabs>
              <w:autoSpaceDE w:val="0"/>
              <w:autoSpaceDN w:val="0"/>
              <w:adjustRightInd w:val="0"/>
              <w:ind w:firstLine="425"/>
              <w:jc w:val="both"/>
            </w:pPr>
            <w:r w:rsidRPr="007F7AD9">
              <w:t>- риск противоправных действий третьих лиц в отношении имущества, составляющего фонд;</w:t>
            </w:r>
          </w:p>
          <w:p w:rsidR="000A3087" w:rsidRPr="007F7AD9" w:rsidRDefault="000A3087" w:rsidP="000A3087">
            <w:pPr>
              <w:tabs>
                <w:tab w:val="left" w:pos="9072"/>
              </w:tabs>
              <w:autoSpaceDE w:val="0"/>
              <w:autoSpaceDN w:val="0"/>
              <w:adjustRightInd w:val="0"/>
              <w:ind w:firstLine="425"/>
              <w:jc w:val="both"/>
            </w:pPr>
            <w:r w:rsidRPr="007F7AD9">
              <w:t xml:space="preserve">- риск возникновения форс-мажорных обстоятельств, таких как природные катаклизмы и военные действия и т.п. </w:t>
            </w:r>
          </w:p>
          <w:p w:rsidR="000A3087" w:rsidRPr="00FF735F" w:rsidRDefault="000A3087" w:rsidP="000A3087">
            <w:pPr>
              <w:tabs>
                <w:tab w:val="left" w:pos="9072"/>
              </w:tabs>
              <w:autoSpaceDE w:val="0"/>
              <w:autoSpaceDN w:val="0"/>
              <w:adjustRightInd w:val="0"/>
              <w:ind w:firstLine="425"/>
              <w:jc w:val="both"/>
            </w:pPr>
            <w:r w:rsidRPr="007F7AD9">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убытков, связанных с уменьшением стоимости инвестиционных паев. Результаты деятельности управляющей компании в прошлом не являются гарантией доходов фонда в будущем, государство не гарантирует доходность инвестиций в фонд.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соответствующих рисков. Стоимость инвестиционных паев может как увеличиваться, так и уменьшаться в зависимости от изменения рыночной стоимости объектов инвестирования.</w:t>
            </w:r>
          </w:p>
        </w:tc>
        <w:tc>
          <w:tcPr>
            <w:tcW w:w="4961" w:type="dxa"/>
          </w:tcPr>
          <w:p w:rsidR="000A3087" w:rsidRDefault="000A3087" w:rsidP="000A3087">
            <w:pPr>
              <w:tabs>
                <w:tab w:val="left" w:pos="451"/>
              </w:tabs>
              <w:ind w:firstLine="453"/>
              <w:jc w:val="both"/>
            </w:pPr>
            <w:r>
              <w:t>24. Информация о рисках, связанных с инвестированием в активы, предусмотренные инвестиционной декларацией паевого инвестиционного фонда.</w:t>
            </w:r>
          </w:p>
          <w:p w:rsidR="000A3087" w:rsidRDefault="000A3087" w:rsidP="000A3087">
            <w:pPr>
              <w:tabs>
                <w:tab w:val="left" w:pos="451"/>
              </w:tabs>
              <w:ind w:firstLine="453"/>
              <w:jc w:val="both"/>
            </w:pPr>
            <w:r>
              <w:t xml:space="preserve">Управляющая компания не гарантирует доходность инвестиций в </w:t>
            </w:r>
            <w:r w:rsidR="00E77A12">
              <w:t>ф</w:t>
            </w:r>
            <w:r>
              <w:t xml:space="preserve">онд. Результаты инвестирования </w:t>
            </w:r>
            <w:r w:rsidR="00E77A12">
              <w:t>у</w:t>
            </w:r>
            <w:r>
              <w:t xml:space="preserve">правляющей компании в прошлом не определяют доходы в будущем, государство не гарантирует доходность инвестиций в данный </w:t>
            </w:r>
            <w:r w:rsidR="00E77A12">
              <w:t>ф</w:t>
            </w:r>
            <w:r>
              <w:t xml:space="preserve">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w:t>
            </w:r>
            <w:r w:rsidR="00E77A12">
              <w:t>ф</w:t>
            </w:r>
            <w:r>
              <w:t>онда и оценки возможных нижеперечисленных рисков.</w:t>
            </w:r>
          </w:p>
          <w:p w:rsidR="000A3087" w:rsidRPr="00886A64" w:rsidRDefault="000A3087" w:rsidP="000A3087">
            <w:pPr>
              <w:tabs>
                <w:tab w:val="left" w:pos="451"/>
              </w:tabs>
              <w:ind w:firstLine="453"/>
              <w:jc w:val="both"/>
            </w:pPr>
            <w:r>
              <w:t xml:space="preserve">Стоимость объектов инвестирования, составляющих </w:t>
            </w:r>
            <w:r w:rsidR="00E77A12">
              <w:t>ф</w:t>
            </w:r>
            <w:r>
              <w:t xml:space="preserve">онд, и, соответственно, расчетная стоимость инвестиционного пая </w:t>
            </w:r>
            <w:r w:rsidR="00E77A12">
              <w:t>ф</w:t>
            </w:r>
            <w:r>
              <w:t xml:space="preserve">онда может </w:t>
            </w:r>
            <w:r w:rsidRPr="00886A64">
              <w:t>как увеличиваться, так и уменьшаться в зависимости от изменения рыночной стоимости объектов инвестирования.</w:t>
            </w:r>
          </w:p>
          <w:p w:rsidR="000A3087" w:rsidRDefault="000A3087" w:rsidP="000A3087">
            <w:pPr>
              <w:tabs>
                <w:tab w:val="left" w:pos="451"/>
              </w:tabs>
              <w:ind w:firstLine="453"/>
              <w:jc w:val="both"/>
            </w:pPr>
            <w:r w:rsidRPr="00886A64">
              <w:t xml:space="preserve">Инвестирование в различные </w:t>
            </w:r>
            <w:r>
              <w:t xml:space="preserve">активы </w:t>
            </w:r>
            <w:r w:rsidR="00E77A12">
              <w:t>ф</w:t>
            </w:r>
            <w:r>
              <w:t>онда (перечислены в п.22</w:t>
            </w:r>
            <w:r w:rsidRPr="00886A64">
              <w:t>.1) связано с высокими рисками, и не подразумевает</w:t>
            </w:r>
            <w:r>
              <w:t xml:space="preserve"> гарантий как по возврату основной инвестированной суммы, так и по получению каких-либо доходов.</w:t>
            </w:r>
          </w:p>
          <w:p w:rsidR="000A3087" w:rsidRDefault="000A3087" w:rsidP="000A3087">
            <w:pPr>
              <w:tabs>
                <w:tab w:val="left" w:pos="451"/>
              </w:tabs>
              <w:ind w:firstLine="453"/>
              <w:jc w:val="both"/>
            </w:pPr>
            <w:r>
              <w:t xml:space="preserve">Владельцы инвестиционных паев несут различные риски, включая риск убытков, связанных с изменением рыночной стоимости активов, составляющих </w:t>
            </w:r>
            <w:r w:rsidR="00E77A12">
              <w:t>ф</w:t>
            </w:r>
            <w:r>
              <w:t>онд.</w:t>
            </w:r>
          </w:p>
          <w:p w:rsidR="000A3087" w:rsidRDefault="000A3087" w:rsidP="000A3087">
            <w:pPr>
              <w:tabs>
                <w:tab w:val="left" w:pos="451"/>
              </w:tabs>
              <w:ind w:firstLine="453"/>
              <w:jc w:val="both"/>
            </w:pPr>
            <w:r>
              <w:t xml:space="preserve">Риски инвестирования в активы </w:t>
            </w:r>
            <w:r w:rsidR="00E77A12">
              <w:t>ф</w:t>
            </w:r>
            <w:r>
              <w:t>онда (указаны в п.22.1) включают, но не ограничиваются следующими рисками:</w:t>
            </w:r>
          </w:p>
          <w:p w:rsidR="000A3087" w:rsidRDefault="000A3087" w:rsidP="000A3087">
            <w:pPr>
              <w:tabs>
                <w:tab w:val="left" w:pos="451"/>
              </w:tabs>
              <w:ind w:firstLine="453"/>
              <w:jc w:val="both"/>
            </w:pPr>
            <w:r w:rsidRPr="008A5675">
              <w:rPr>
                <w:b/>
              </w:rPr>
              <w:t xml:space="preserve">- </w:t>
            </w:r>
            <w:r>
              <w:t>Нефинансовые риски;</w:t>
            </w:r>
          </w:p>
          <w:p w:rsidR="000A3087" w:rsidRDefault="000A3087" w:rsidP="000A3087">
            <w:pPr>
              <w:tabs>
                <w:tab w:val="left" w:pos="451"/>
              </w:tabs>
              <w:ind w:firstLine="453"/>
              <w:jc w:val="both"/>
            </w:pPr>
            <w:r w:rsidRPr="008A5675">
              <w:rPr>
                <w:b/>
              </w:rPr>
              <w:t>-</w:t>
            </w:r>
            <w:r w:rsidR="007E6DD2" w:rsidRPr="008A5675">
              <w:rPr>
                <w:b/>
              </w:rPr>
              <w:t xml:space="preserve"> </w:t>
            </w:r>
            <w:r>
              <w:t>Финансовые риски;</w:t>
            </w:r>
          </w:p>
          <w:p w:rsidR="000A3087" w:rsidRDefault="000A3087" w:rsidP="000A3087">
            <w:pPr>
              <w:tabs>
                <w:tab w:val="left" w:pos="451"/>
              </w:tabs>
              <w:ind w:firstLine="453"/>
              <w:jc w:val="both"/>
              <w:rPr>
                <w:b/>
              </w:rPr>
            </w:pPr>
            <w:r>
              <w:rPr>
                <w:b/>
                <w:lang w:val="en-US"/>
              </w:rPr>
              <w:t>I</w:t>
            </w:r>
            <w:r>
              <w:rPr>
                <w:b/>
              </w:rPr>
              <w:t>. Нефинансовые риски</w:t>
            </w:r>
          </w:p>
          <w:p w:rsidR="000A3087" w:rsidRDefault="000A3087" w:rsidP="000A3087">
            <w:pPr>
              <w:tabs>
                <w:tab w:val="left" w:pos="451"/>
              </w:tabs>
              <w:ind w:firstLine="453"/>
              <w:jc w:val="both"/>
            </w:pPr>
            <w:r>
              <w:t xml:space="preserve">К нефинансовым рискам, </w:t>
            </w:r>
            <w:r w:rsidR="00783BF1">
              <w:t>в</w:t>
            </w:r>
            <w:r>
              <w:t xml:space="preserve"> том числе могут быть отнесены следующие риски: </w:t>
            </w:r>
          </w:p>
          <w:p w:rsidR="000A3087" w:rsidRDefault="000A3087" w:rsidP="000A3087">
            <w:pPr>
              <w:tabs>
                <w:tab w:val="left" w:pos="451"/>
              </w:tabs>
              <w:ind w:firstLine="453"/>
              <w:jc w:val="both"/>
            </w:pPr>
            <w:r>
              <w:rPr>
                <w:b/>
              </w:rPr>
              <w:t xml:space="preserve">Стратегический риск </w:t>
            </w:r>
            <w:r>
              <w:t>связан</w:t>
            </w:r>
            <w:r>
              <w:rPr>
                <w:b/>
              </w:rPr>
              <w:t xml:space="preserve"> </w:t>
            </w:r>
            <w:r>
              <w:t>с социально</w:t>
            </w:r>
            <w:r>
              <w:rPr>
                <w:b/>
              </w:rPr>
              <w:t>-</w:t>
            </w:r>
            <w:r>
              <w:t xml:space="preserve">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w:t>
            </w:r>
            <w:r w:rsidR="00E77A12">
              <w:t>у</w:t>
            </w:r>
            <w:r>
              <w:t>правляющей компании, не подлежит диверсификации и н</w:t>
            </w:r>
            <w:r w:rsidR="0054544D">
              <w:t>е</w:t>
            </w:r>
            <w:r>
              <w:t xml:space="preserve"> может быть понижен.</w:t>
            </w:r>
          </w:p>
          <w:p w:rsidR="000A3087" w:rsidRDefault="000A3087" w:rsidP="000A3087">
            <w:pPr>
              <w:tabs>
                <w:tab w:val="left" w:pos="451"/>
              </w:tabs>
              <w:ind w:firstLine="453"/>
              <w:jc w:val="both"/>
            </w:pPr>
            <w:r>
              <w:rPr>
                <w:b/>
              </w:rPr>
              <w:t>Системный риск</w:t>
            </w:r>
            <w:r>
              <w:t xml:space="preserve"> связан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 Управляющая компания не имеет возможностей воздействия на системный риск</w:t>
            </w:r>
            <w:r w:rsidR="00783BF1">
              <w:t>.</w:t>
            </w:r>
          </w:p>
          <w:p w:rsidR="000A3087" w:rsidRDefault="000A3087" w:rsidP="000A3087">
            <w:pPr>
              <w:tabs>
                <w:tab w:val="left" w:pos="451"/>
              </w:tabs>
              <w:ind w:firstLine="453"/>
              <w:jc w:val="both"/>
            </w:pPr>
            <w:r>
              <w:rPr>
                <w:b/>
              </w:rPr>
              <w:t>Операционный риск</w:t>
            </w:r>
            <w:r>
              <w:t xml:space="preserve">,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w:t>
            </w:r>
            <w:r w:rsidR="00E77A12">
              <w:t>у</w:t>
            </w:r>
            <w:r>
              <w:t xml:space="preserve">правляющей компании, ее контрагентов и партнеров, привлекаемых к управлению активами </w:t>
            </w:r>
            <w:r w:rsidR="00E77A12">
              <w:t>ф</w:t>
            </w:r>
            <w:r>
              <w:t xml:space="preserve">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w:t>
            </w:r>
            <w:r w:rsidR="00E77A12">
              <w:t>у</w:t>
            </w:r>
            <w:r>
              <w:t>правляющая компания с должной предусмотрительностью относится к подбору сотрудников, оптимизации бизнес-процессов и выбору контрагентов.</w:t>
            </w:r>
          </w:p>
          <w:p w:rsidR="000A3087" w:rsidRDefault="000A3087" w:rsidP="000A3087">
            <w:pPr>
              <w:tabs>
                <w:tab w:val="left" w:pos="451"/>
              </w:tabs>
              <w:ind w:firstLine="453"/>
              <w:jc w:val="both"/>
            </w:pPr>
            <w:r>
              <w:rPr>
                <w:b/>
              </w:rPr>
              <w:t>Правовой риск</w:t>
            </w:r>
            <w:r>
              <w:t xml:space="preserve">,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w:t>
            </w:r>
            <w:r w:rsidR="00E77A12">
              <w:t>ф</w:t>
            </w:r>
            <w:r>
              <w:t xml:space="preserve">ондом или финансовый результат инвестора. </w:t>
            </w:r>
          </w:p>
          <w:p w:rsidR="000A3087" w:rsidRDefault="000A3087" w:rsidP="000A3087">
            <w:pPr>
              <w:tabs>
                <w:tab w:val="left" w:pos="451"/>
              </w:tabs>
              <w:ind w:firstLine="453"/>
              <w:jc w:val="both"/>
            </w:pPr>
            <w:r>
              <w:t xml:space="preserve">С целью минимизации правового риска </w:t>
            </w:r>
            <w:r w:rsidR="00E77A12">
              <w:t>у</w:t>
            </w:r>
            <w:r>
              <w:t>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p>
          <w:p w:rsidR="000A3087" w:rsidRDefault="000A3087" w:rsidP="000A3087">
            <w:pPr>
              <w:tabs>
                <w:tab w:val="left" w:pos="451"/>
              </w:tabs>
              <w:ind w:firstLine="453"/>
              <w:jc w:val="both"/>
              <w:rPr>
                <w:b/>
              </w:rPr>
            </w:pPr>
            <w:r>
              <w:rPr>
                <w:b/>
              </w:rPr>
              <w:t xml:space="preserve">Регуляторный риск </w:t>
            </w:r>
            <w:r>
              <w:t xml:space="preserve">может проявляться в форме применения к </w:t>
            </w:r>
            <w:r w:rsidR="00E77A12">
              <w:t>у</w:t>
            </w:r>
            <w:r>
              <w:t xml:space="preserve">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w:t>
            </w:r>
            <w:r w:rsidR="00E77A12">
              <w:t>у</w:t>
            </w:r>
            <w:r>
              <w:t xml:space="preserve">правляющей компании, запрет на проведение отдельных операций по управлению </w:t>
            </w:r>
            <w:r w:rsidR="00E77A12">
              <w:t>ф</w:t>
            </w:r>
            <w:r>
              <w:t xml:space="preserve">ондом или аннулирование лицензии </w:t>
            </w:r>
            <w:r w:rsidR="00E77A12">
              <w:t>у</w:t>
            </w:r>
            <w:r>
              <w:t xml:space="preserve">правляющей компании. С целью исключения регуляторного риска </w:t>
            </w:r>
            <w:r w:rsidR="00E77A12">
              <w:t>у</w:t>
            </w:r>
            <w:r>
              <w:t>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0A3087" w:rsidRDefault="000A3087" w:rsidP="000A3087">
            <w:pPr>
              <w:tabs>
                <w:tab w:val="left" w:pos="451"/>
              </w:tabs>
              <w:ind w:firstLine="453"/>
              <w:jc w:val="both"/>
              <w:rPr>
                <w:b/>
              </w:rPr>
            </w:pPr>
            <w:r>
              <w:rPr>
                <w:b/>
                <w:lang w:val="en-US"/>
              </w:rPr>
              <w:t>II</w:t>
            </w:r>
            <w:r>
              <w:rPr>
                <w:b/>
              </w:rPr>
              <w:t>. Финансовые риски</w:t>
            </w:r>
          </w:p>
          <w:p w:rsidR="000A3087" w:rsidRDefault="000A3087" w:rsidP="000A3087">
            <w:pPr>
              <w:tabs>
                <w:tab w:val="left" w:pos="451"/>
              </w:tabs>
              <w:ind w:firstLine="453"/>
              <w:jc w:val="both"/>
            </w:pPr>
            <w:r>
              <w:t xml:space="preserve">К финансовым рискам, в том числе, могут быть отнесены следующие риски: </w:t>
            </w:r>
          </w:p>
          <w:p w:rsidR="000A3087" w:rsidRDefault="000A3087" w:rsidP="000A3087">
            <w:pPr>
              <w:tabs>
                <w:tab w:val="left" w:pos="451"/>
              </w:tabs>
              <w:ind w:firstLine="453"/>
              <w:jc w:val="both"/>
            </w:pPr>
            <w:r>
              <w:rPr>
                <w:b/>
              </w:rPr>
              <w:t>Рыночный/ценовой риск</w:t>
            </w:r>
            <w:r>
              <w:t>, связанный с колебаниями цен активов, указанных в п.22.1,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r w:rsidR="00783BF1">
              <w:t>.</w:t>
            </w:r>
          </w:p>
          <w:p w:rsidR="000A3087" w:rsidRDefault="000A3087" w:rsidP="000A3087">
            <w:pPr>
              <w:tabs>
                <w:tab w:val="left" w:pos="451"/>
              </w:tabs>
              <w:ind w:firstLine="453"/>
              <w:jc w:val="both"/>
            </w:pPr>
            <w:r>
              <w:rPr>
                <w:b/>
              </w:rPr>
              <w:t xml:space="preserve">Валютный риск </w:t>
            </w:r>
            <w: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w:t>
            </w:r>
            <w:r w:rsidR="00E77A12">
              <w:t>ф</w:t>
            </w:r>
            <w:r>
              <w:t>онда.</w:t>
            </w:r>
          </w:p>
          <w:p w:rsidR="000A3087" w:rsidRDefault="000A3087" w:rsidP="000A3087">
            <w:pPr>
              <w:tabs>
                <w:tab w:val="left" w:pos="451"/>
              </w:tabs>
              <w:ind w:firstLine="453"/>
              <w:jc w:val="both"/>
            </w:pPr>
            <w:r>
              <w:rPr>
                <w:b/>
              </w:rPr>
              <w:t>Процентный риск</w:t>
            </w:r>
            <w:r>
              <w:t xml:space="preserve"> заключатся в потерях, которые </w:t>
            </w:r>
            <w:r w:rsidR="00E77A12">
              <w:t>ф</w:t>
            </w:r>
            <w:r>
              <w:t>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0A3087" w:rsidRDefault="000A3087" w:rsidP="000A3087">
            <w:pPr>
              <w:tabs>
                <w:tab w:val="left" w:pos="451"/>
              </w:tabs>
              <w:ind w:firstLine="453"/>
              <w:jc w:val="both"/>
            </w:pPr>
            <w:r>
              <w:rPr>
                <w:b/>
              </w:rPr>
              <w:t xml:space="preserve">Риск ликвидности </w:t>
            </w:r>
            <w:r>
              <w:t>реализуется</w:t>
            </w:r>
            <w:r>
              <w:rPr>
                <w:b/>
              </w:rPr>
              <w:t xml:space="preserve"> </w:t>
            </w:r>
            <w:r>
              <w:t xml:space="preserve">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w:t>
            </w:r>
            <w:r w:rsidR="00E77A12">
              <w:t>ф</w:t>
            </w:r>
            <w:r>
              <w:t>онда до конца срока погашения без возможности реализации.</w:t>
            </w:r>
          </w:p>
          <w:p w:rsidR="000A3087" w:rsidRDefault="000A3087" w:rsidP="000A3087">
            <w:pPr>
              <w:tabs>
                <w:tab w:val="left" w:pos="451"/>
              </w:tabs>
              <w:ind w:firstLine="453"/>
              <w:jc w:val="both"/>
            </w:pPr>
            <w: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0A3087" w:rsidRDefault="000A3087" w:rsidP="000A3087">
            <w:pPr>
              <w:tabs>
                <w:tab w:val="left" w:pos="451"/>
              </w:tabs>
              <w:ind w:firstLine="453"/>
              <w:jc w:val="both"/>
            </w:pPr>
            <w:r>
              <w:t xml:space="preserve">Помимо финансовых и нефинансовых рисков, инвестирование в активы </w:t>
            </w:r>
            <w:r w:rsidR="00E77A12">
              <w:t>ф</w:t>
            </w:r>
            <w:r>
              <w:t xml:space="preserve">онда может включать следующие риски: </w:t>
            </w:r>
          </w:p>
          <w:p w:rsidR="000A3087" w:rsidRDefault="000A3087" w:rsidP="000A3087">
            <w:pPr>
              <w:tabs>
                <w:tab w:val="left" w:pos="451"/>
              </w:tabs>
              <w:ind w:firstLine="453"/>
              <w:jc w:val="both"/>
            </w:pPr>
            <w:r>
              <w:rPr>
                <w:b/>
              </w:rPr>
              <w:t xml:space="preserve">А) Кредитный риск, </w:t>
            </w:r>
            <w:r>
              <w:t xml:space="preserve">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rsidR="000A3087" w:rsidRDefault="000A3087" w:rsidP="000A3087">
            <w:pPr>
              <w:tabs>
                <w:tab w:val="left" w:pos="451"/>
              </w:tabs>
              <w:ind w:firstLine="453"/>
              <w:jc w:val="both"/>
            </w:pPr>
            <w:r>
              <w:t xml:space="preserve">К числу кредитных рисков, в том числе, относятся: </w:t>
            </w:r>
          </w:p>
          <w:p w:rsidR="000A3087" w:rsidRDefault="000A3087" w:rsidP="000A3087">
            <w:pPr>
              <w:tabs>
                <w:tab w:val="left" w:pos="451"/>
              </w:tabs>
              <w:ind w:firstLine="453"/>
              <w:jc w:val="both"/>
            </w:pPr>
            <w:r>
              <w:rPr>
                <w:b/>
              </w:rPr>
              <w:t>Риск дефолта</w:t>
            </w:r>
            <w: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0A3087" w:rsidRDefault="000A3087" w:rsidP="000A3087">
            <w:pPr>
              <w:tabs>
                <w:tab w:val="left" w:pos="451"/>
              </w:tabs>
              <w:ind w:firstLine="453"/>
              <w:jc w:val="both"/>
            </w:pPr>
            <w:r>
              <w:t xml:space="preserve">Инвестор несет риск дефолта в отношении активов, входящих в состав </w:t>
            </w:r>
            <w:r w:rsidR="00E77A12">
              <w:t>ф</w:t>
            </w:r>
            <w:r>
              <w:t xml:space="preserve">онда. С целью поддержания соотношения риск/доходность в соответствии с инвестиционной декларацией </w:t>
            </w:r>
            <w:r w:rsidR="00E77A12">
              <w:t>ф</w:t>
            </w:r>
            <w:r>
              <w:t xml:space="preserve">онда </w:t>
            </w:r>
            <w:r w:rsidR="00E77A12">
              <w:t>у</w:t>
            </w:r>
            <w:r>
              <w:t>правляющая компания выстроила систему управления портфелем фонда и риск-менеджмента.</w:t>
            </w:r>
          </w:p>
          <w:p w:rsidR="000A3087" w:rsidRDefault="000A3087" w:rsidP="000A3087">
            <w:pPr>
              <w:tabs>
                <w:tab w:val="left" w:pos="451"/>
              </w:tabs>
              <w:ind w:firstLine="453"/>
              <w:jc w:val="both"/>
            </w:pPr>
            <w:r>
              <w:rPr>
                <w:b/>
              </w:rPr>
              <w:t>Риск контрагента</w:t>
            </w:r>
            <w:r>
              <w:t xml:space="preserve"> – третьего лица проявляется в риске неисполнения обязательств перед </w:t>
            </w:r>
            <w:r w:rsidR="00E77A12">
              <w:t>у</w:t>
            </w:r>
            <w:r>
              <w:t xml:space="preserve">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w:t>
            </w:r>
            <w:r w:rsidR="00E77A12">
              <w:t>у</w:t>
            </w:r>
            <w:r>
              <w:t>правляющей компанией усилия по добросовестному выбору вышеперечисленных лиц.</w:t>
            </w:r>
          </w:p>
          <w:p w:rsidR="000A3087" w:rsidRDefault="000A3087" w:rsidP="000A3087">
            <w:pPr>
              <w:tabs>
                <w:tab w:val="left" w:pos="451"/>
              </w:tabs>
              <w:ind w:firstLine="453"/>
              <w:jc w:val="both"/>
            </w:pPr>
            <w:r>
              <w:rPr>
                <w:b/>
              </w:rPr>
              <w:t>Б</w:t>
            </w:r>
            <w:r>
              <w:t>) Инвестирование в</w:t>
            </w:r>
            <w:r>
              <w:rPr>
                <w:b/>
              </w:rPr>
              <w:t xml:space="preserve"> производные финансовые инструменты</w:t>
            </w:r>
            <w:r>
              <w:t xml:space="preserve"> </w:t>
            </w:r>
            <w:r w:rsidRPr="00886A64">
              <w:t>(фьючерсные и опционные договоры (контракты))</w:t>
            </w:r>
            <w:r>
              <w:t xml:space="preserve">, как правило, связано с большим уровнем риска и может быть сопряжено со значительными убытками. </w:t>
            </w:r>
          </w:p>
          <w:p w:rsidR="000A3087" w:rsidRDefault="000A3087" w:rsidP="000A3087">
            <w:pPr>
              <w:tabs>
                <w:tab w:val="left" w:pos="451"/>
              </w:tabs>
              <w:ind w:firstLine="453"/>
              <w:jc w:val="both"/>
            </w:pPr>
            <w:r>
              <w:t xml:space="preserve">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0A3087" w:rsidRDefault="000A3087" w:rsidP="000A3087">
            <w:pPr>
              <w:tabs>
                <w:tab w:val="left" w:pos="451"/>
              </w:tabs>
              <w:ind w:firstLine="453"/>
              <w:jc w:val="both"/>
            </w:pPr>
            <w: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0A3087" w:rsidRDefault="000A3087" w:rsidP="000A3087">
            <w:pPr>
              <w:tabs>
                <w:tab w:val="left" w:pos="451"/>
              </w:tabs>
              <w:ind w:firstLine="453"/>
              <w:jc w:val="both"/>
            </w:pPr>
            <w:r>
              <w:rPr>
                <w:b/>
              </w:rPr>
              <w:t>В)</w:t>
            </w:r>
            <w:r>
              <w:t xml:space="preserve"> Инвестированию в </w:t>
            </w:r>
            <w:r>
              <w:rPr>
                <w:b/>
              </w:rPr>
              <w:t>иностранные ценные бумаги</w:t>
            </w:r>
            <w:r>
              <w:t xml:space="preserve"> </w:t>
            </w:r>
            <w:r w:rsidR="007B708E" w:rsidRPr="0037106A">
              <w:rPr>
                <w:lang w:eastAsia="en-US"/>
              </w:rPr>
              <w:t>и производные финансо</w:t>
            </w:r>
            <w:r w:rsidR="007B708E">
              <w:rPr>
                <w:lang w:eastAsia="en-US"/>
              </w:rPr>
              <w:t>вые инструменты, базовые активы</w:t>
            </w:r>
            <w:r w:rsidR="007B708E" w:rsidRPr="0037106A">
              <w:rPr>
                <w:lang w:eastAsia="en-US"/>
              </w:rPr>
              <w:t xml:space="preserve"> которых имеют иностранное происхождение, </w:t>
            </w:r>
            <w:r>
              <w:t xml:space="preserve">присущи описанные выше риски со следующими особенностями. </w:t>
            </w:r>
          </w:p>
          <w:p w:rsidR="000A3087" w:rsidRDefault="000A3087" w:rsidP="000A3087">
            <w:pPr>
              <w:tabs>
                <w:tab w:val="left" w:pos="451"/>
              </w:tabs>
              <w:ind w:firstLine="453"/>
              <w:jc w:val="both"/>
            </w:pPr>
            <w:r>
              <w:t>Иностранные финансовые инструменты и активы могут быть приобретены за рубежом или на российском, в том числе организованном рынке.</w:t>
            </w:r>
          </w:p>
          <w:p w:rsidR="00C67C80" w:rsidRDefault="00C67C80" w:rsidP="000A3087">
            <w:pPr>
              <w:tabs>
                <w:tab w:val="left" w:pos="451"/>
              </w:tabs>
              <w:ind w:firstLine="453"/>
              <w:jc w:val="both"/>
            </w:pPr>
          </w:p>
          <w:p w:rsidR="000A3087" w:rsidRDefault="000A3087" w:rsidP="000A3087">
            <w:pPr>
              <w:tabs>
                <w:tab w:val="left" w:pos="451"/>
              </w:tabs>
              <w:ind w:firstLine="453"/>
              <w:jc w:val="both"/>
            </w:pPr>
            <w: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0A3087" w:rsidRPr="00FF735F" w:rsidRDefault="000A3087" w:rsidP="000A3087">
            <w:pPr>
              <w:autoSpaceDE w:val="0"/>
              <w:autoSpaceDN w:val="0"/>
              <w:adjustRightInd w:val="0"/>
              <w:spacing w:after="120"/>
              <w:ind w:left="36" w:firstLine="425"/>
              <w:jc w:val="both"/>
            </w:pPr>
            <w:r>
              <w:t xml:space="preserve">Возможности судебной защиты прав на иностранные активы могут быть  существенно ограничены необходимостью </w:t>
            </w:r>
            <w:r w:rsidRPr="00886A64">
              <w:t>обращения в зарубежные  судебные и правоохранительные органы.</w:t>
            </w:r>
          </w:p>
        </w:tc>
      </w:tr>
      <w:tr w:rsidR="000A3087" w:rsidTr="00FB1940">
        <w:trPr>
          <w:trHeight w:val="841"/>
        </w:trPr>
        <w:tc>
          <w:tcPr>
            <w:tcW w:w="4957" w:type="dxa"/>
          </w:tcPr>
          <w:p w:rsidR="000A3087" w:rsidRPr="004B291C" w:rsidRDefault="000A3087" w:rsidP="000A3087">
            <w:pPr>
              <w:tabs>
                <w:tab w:val="left" w:pos="9072"/>
              </w:tabs>
              <w:autoSpaceDE w:val="0"/>
              <w:autoSpaceDN w:val="0"/>
              <w:adjustRightInd w:val="0"/>
              <w:ind w:firstLine="425"/>
              <w:jc w:val="both"/>
            </w:pPr>
            <w:r w:rsidRPr="004B291C">
              <w:t>7</w:t>
            </w:r>
            <w:r w:rsidR="00DE3D55">
              <w:t>7</w:t>
            </w:r>
            <w:r w:rsidRPr="004B291C">
              <w:t>. 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rsidR="000A3087" w:rsidRPr="004B291C" w:rsidRDefault="000A3087" w:rsidP="000A3087">
            <w:pPr>
              <w:tabs>
                <w:tab w:val="left" w:pos="9072"/>
              </w:tabs>
              <w:autoSpaceDE w:val="0"/>
              <w:autoSpaceDN w:val="0"/>
              <w:adjustRightInd w:val="0"/>
              <w:ind w:firstLine="425"/>
              <w:jc w:val="both"/>
            </w:pPr>
            <w:r w:rsidRPr="004B291C">
              <w:t xml:space="preserve">- </w:t>
            </w:r>
            <w:r w:rsidRPr="004B291C">
              <w:rPr>
                <w:b/>
              </w:rPr>
              <w:t>2,0 (два) процента</w:t>
            </w:r>
            <w:r w:rsidRPr="004B291C">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менее или равный 182 (ста восьмидесяти двум)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A3087" w:rsidRPr="004B291C" w:rsidRDefault="000A3087" w:rsidP="000A3087">
            <w:pPr>
              <w:tabs>
                <w:tab w:val="left" w:pos="9072"/>
              </w:tabs>
              <w:autoSpaceDE w:val="0"/>
              <w:autoSpaceDN w:val="0"/>
              <w:adjustRightInd w:val="0"/>
              <w:ind w:firstLine="425"/>
              <w:jc w:val="both"/>
            </w:pPr>
            <w:r w:rsidRPr="004B291C">
              <w:t xml:space="preserve">- </w:t>
            </w:r>
            <w:r w:rsidRPr="006F4E0C">
              <w:rPr>
                <w:b/>
              </w:rPr>
              <w:t>1,5 (одна целая пять десятых) процента</w:t>
            </w:r>
            <w:r w:rsidRPr="004B291C">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более 182 (ста восьмидесяти двух) дней,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A3087" w:rsidRPr="004B291C" w:rsidRDefault="000A3087" w:rsidP="000A3087">
            <w:pPr>
              <w:tabs>
                <w:tab w:val="left" w:pos="9072"/>
              </w:tabs>
              <w:autoSpaceDE w:val="0"/>
              <w:autoSpaceDN w:val="0"/>
              <w:adjustRightInd w:val="0"/>
              <w:ind w:firstLine="425"/>
              <w:jc w:val="both"/>
            </w:pPr>
            <w:r w:rsidRPr="004B291C">
              <w:t xml:space="preserve">- </w:t>
            </w:r>
            <w:r w:rsidRPr="006F4E0C">
              <w:rPr>
                <w:b/>
              </w:rPr>
              <w:t>1 (один) процент</w:t>
            </w:r>
            <w:r w:rsidRPr="004B291C">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более 365 (трехсот шестидесяти пяти) дней, но менее или равный 1095 (одной тысячи девяноста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A3087" w:rsidRPr="007F7AD9" w:rsidRDefault="000A3087" w:rsidP="000A3087">
            <w:pPr>
              <w:tabs>
                <w:tab w:val="left" w:pos="9072"/>
              </w:tabs>
              <w:autoSpaceDE w:val="0"/>
              <w:autoSpaceDN w:val="0"/>
              <w:adjustRightInd w:val="0"/>
              <w:ind w:firstLine="425"/>
              <w:jc w:val="both"/>
            </w:pPr>
            <w:r w:rsidRPr="004B291C">
              <w:t>- не взимается при подаче заявки на погашение инвестиционных паев фонда в срок более 1095 (одной тысячи девяноста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tc>
        <w:tc>
          <w:tcPr>
            <w:tcW w:w="4961" w:type="dxa"/>
          </w:tcPr>
          <w:p w:rsidR="000A3087" w:rsidRPr="005A3726" w:rsidRDefault="000A3087" w:rsidP="000A3087">
            <w:pPr>
              <w:tabs>
                <w:tab w:val="left" w:pos="9072"/>
              </w:tabs>
              <w:spacing w:line="240" w:lineRule="atLeast"/>
              <w:ind w:firstLine="425"/>
              <w:jc w:val="both"/>
            </w:pPr>
            <w:r w:rsidRPr="005A3726">
              <w:t>7</w:t>
            </w:r>
            <w:r w:rsidR="00DE3D55">
              <w:t>7</w:t>
            </w:r>
            <w:r w:rsidRPr="005A3726">
              <w:t>. 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rsidR="000A3087" w:rsidRPr="005A3726" w:rsidRDefault="000A3087" w:rsidP="000A3087">
            <w:pPr>
              <w:tabs>
                <w:tab w:val="left" w:pos="9072"/>
              </w:tabs>
              <w:spacing w:line="240" w:lineRule="atLeast"/>
              <w:ind w:firstLine="425"/>
              <w:jc w:val="both"/>
            </w:pPr>
            <w:r>
              <w:t xml:space="preserve">- </w:t>
            </w:r>
            <w:r w:rsidRPr="004B291C">
              <w:rPr>
                <w:b/>
              </w:rPr>
              <w:t xml:space="preserve">1,5 (одна целая пять десятых) </w:t>
            </w:r>
            <w:r w:rsidRPr="006F4E0C">
              <w:rPr>
                <w:b/>
              </w:rPr>
              <w:t>процента</w:t>
            </w:r>
            <w:r w:rsidRPr="005A3726">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менее или равный 182 (ста восьмидесяти двум)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A3087" w:rsidRPr="005A3726" w:rsidRDefault="000A3087" w:rsidP="000A3087">
            <w:pPr>
              <w:tabs>
                <w:tab w:val="left" w:pos="9072"/>
              </w:tabs>
              <w:spacing w:line="240" w:lineRule="atLeast"/>
              <w:ind w:firstLine="425"/>
              <w:jc w:val="both"/>
            </w:pPr>
            <w:r w:rsidRPr="005A3726">
              <w:t xml:space="preserve">- </w:t>
            </w:r>
            <w:r w:rsidRPr="006F4E0C">
              <w:rPr>
                <w:b/>
              </w:rPr>
              <w:t>1 (один) процент</w:t>
            </w:r>
            <w:r w:rsidRPr="005A3726">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более 182 (ста восьмидесяти двух) дней,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A3087" w:rsidRPr="005A3726" w:rsidRDefault="000A3087" w:rsidP="000A3087">
            <w:pPr>
              <w:tabs>
                <w:tab w:val="left" w:pos="9072"/>
              </w:tabs>
              <w:spacing w:line="240" w:lineRule="atLeast"/>
              <w:ind w:firstLine="425"/>
              <w:jc w:val="both"/>
            </w:pPr>
            <w:r>
              <w:t xml:space="preserve">- </w:t>
            </w:r>
            <w:r w:rsidRPr="006F4E0C">
              <w:rPr>
                <w:b/>
              </w:rPr>
              <w:t>0,5 (ноль целых пять десятых) процента</w:t>
            </w:r>
            <w:r w:rsidRPr="005A3726">
              <w:t xml:space="preserve">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более 365 (трехсот шестидесяти пяти) дней, но менее или равный 1095 (одной тысячи девяноста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A3087" w:rsidRDefault="000A3087" w:rsidP="008A5675">
            <w:pPr>
              <w:tabs>
                <w:tab w:val="left" w:pos="9072"/>
              </w:tabs>
              <w:spacing w:line="240" w:lineRule="atLeast"/>
              <w:ind w:firstLine="425"/>
              <w:jc w:val="both"/>
            </w:pPr>
            <w:r w:rsidRPr="005A3726">
              <w:t>- не взимается при подаче заявки на погашение инвестиционных паев фонда в срок более 1095 (одной тысячи девяноста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tc>
      </w:tr>
    </w:tbl>
    <w:p w:rsidR="0065640B" w:rsidRPr="009E5AF5" w:rsidRDefault="0065640B" w:rsidP="0065640B">
      <w:pPr>
        <w:jc w:val="center"/>
        <w:rPr>
          <w:sz w:val="16"/>
          <w:szCs w:val="16"/>
        </w:rPr>
      </w:pPr>
    </w:p>
    <w:p w:rsidR="00E93469" w:rsidRPr="009E5AF5" w:rsidRDefault="00E93469" w:rsidP="0065640B">
      <w:pPr>
        <w:jc w:val="center"/>
        <w:rPr>
          <w:sz w:val="16"/>
          <w:szCs w:val="16"/>
        </w:rPr>
      </w:pPr>
    </w:p>
    <w:p w:rsidR="00FB1940" w:rsidRDefault="00FB1940" w:rsidP="00FB1940">
      <w:r>
        <w:t xml:space="preserve">Генеральный директор  </w:t>
      </w:r>
    </w:p>
    <w:p w:rsidR="00FB1940" w:rsidRDefault="00FB1940" w:rsidP="00FB1940">
      <w:r>
        <w:t xml:space="preserve">ООО «БСПБ Капитал»                                                    </w:t>
      </w:r>
      <w:r>
        <w:rPr>
          <w:u w:val="single"/>
        </w:rPr>
        <w:t xml:space="preserve">                                         </w:t>
      </w:r>
      <w:r>
        <w:t xml:space="preserve">   Д.В. Шагардин                                                                                              </w:t>
      </w:r>
    </w:p>
    <w:p w:rsidR="00E31508" w:rsidRPr="00E31508" w:rsidRDefault="00FB1940" w:rsidP="00A06199">
      <w:pPr>
        <w:rPr>
          <w:sz w:val="22"/>
          <w:szCs w:val="22"/>
        </w:rPr>
      </w:pPr>
      <w:r>
        <w:rPr>
          <w:sz w:val="22"/>
          <w:szCs w:val="22"/>
        </w:rPr>
        <w:t xml:space="preserve">                                                                                                   </w:t>
      </w:r>
      <w:r>
        <w:rPr>
          <w:sz w:val="18"/>
          <w:szCs w:val="18"/>
        </w:rPr>
        <w:t>М.П.</w:t>
      </w:r>
    </w:p>
    <w:sectPr w:rsidR="00E31508" w:rsidRPr="00E31508" w:rsidSect="008A5675">
      <w:headerReference w:type="default" r:id="rId10"/>
      <w:pgSz w:w="11906" w:h="16838"/>
      <w:pgMar w:top="709" w:right="850" w:bottom="709" w:left="1276" w:header="426" w:footer="4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6E" w:rsidRDefault="00060B6E" w:rsidP="00043418">
      <w:r>
        <w:separator/>
      </w:r>
    </w:p>
  </w:endnote>
  <w:endnote w:type="continuationSeparator" w:id="0">
    <w:p w:rsidR="00060B6E" w:rsidRDefault="00060B6E" w:rsidP="00043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6E" w:rsidRDefault="00060B6E" w:rsidP="00043418">
      <w:r>
        <w:separator/>
      </w:r>
    </w:p>
  </w:footnote>
  <w:footnote w:type="continuationSeparator" w:id="0">
    <w:p w:rsidR="00060B6E" w:rsidRDefault="00060B6E" w:rsidP="00043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75" w:rsidRDefault="00E61761" w:rsidP="008A5675">
    <w:pPr>
      <w:pStyle w:val="a8"/>
      <w:spacing w:after="120"/>
      <w:jc w:val="center"/>
    </w:pPr>
    <w:fldSimple w:instr="PAGE   \* MERGEFORMAT">
      <w:r w:rsidR="005F13E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EEE16"/>
    <w:multiLevelType w:val="hybridMultilevel"/>
    <w:tmpl w:val="924C8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3C4E12"/>
    <w:multiLevelType w:val="hybridMultilevel"/>
    <w:tmpl w:val="AE66F0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97D2838"/>
    <w:multiLevelType w:val="hybridMultilevel"/>
    <w:tmpl w:val="6DDC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2F4D9"/>
    <w:multiLevelType w:val="hybridMultilevel"/>
    <w:tmpl w:val="08FBA7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FA68E75"/>
    <w:multiLevelType w:val="hybridMultilevel"/>
    <w:tmpl w:val="383DFB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89F2E57"/>
    <w:multiLevelType w:val="hybridMultilevel"/>
    <w:tmpl w:val="DF96F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D0EABB5"/>
    <w:multiLevelType w:val="hybridMultilevel"/>
    <w:tmpl w:val="2209196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E0BEB"/>
    <w:rsid w:val="00004D8D"/>
    <w:rsid w:val="00005E58"/>
    <w:rsid w:val="000256BD"/>
    <w:rsid w:val="00043418"/>
    <w:rsid w:val="0005428D"/>
    <w:rsid w:val="00055C50"/>
    <w:rsid w:val="00060B6E"/>
    <w:rsid w:val="000655F6"/>
    <w:rsid w:val="00067AF9"/>
    <w:rsid w:val="00080187"/>
    <w:rsid w:val="000A3087"/>
    <w:rsid w:val="000A4481"/>
    <w:rsid w:val="000A6AA7"/>
    <w:rsid w:val="000B7D62"/>
    <w:rsid w:val="000C2362"/>
    <w:rsid w:val="000F0626"/>
    <w:rsid w:val="000F60AC"/>
    <w:rsid w:val="00117365"/>
    <w:rsid w:val="00165A90"/>
    <w:rsid w:val="00172BD6"/>
    <w:rsid w:val="00193B41"/>
    <w:rsid w:val="001B2B3F"/>
    <w:rsid w:val="001B3B7E"/>
    <w:rsid w:val="001D5223"/>
    <w:rsid w:val="001F48E6"/>
    <w:rsid w:val="002366BB"/>
    <w:rsid w:val="00247B32"/>
    <w:rsid w:val="00252D45"/>
    <w:rsid w:val="00255282"/>
    <w:rsid w:val="00292A3A"/>
    <w:rsid w:val="002B5195"/>
    <w:rsid w:val="00310107"/>
    <w:rsid w:val="003570EB"/>
    <w:rsid w:val="0037106A"/>
    <w:rsid w:val="003C4789"/>
    <w:rsid w:val="00425D54"/>
    <w:rsid w:val="00446E71"/>
    <w:rsid w:val="0048757B"/>
    <w:rsid w:val="00495D68"/>
    <w:rsid w:val="004B291C"/>
    <w:rsid w:val="004C39FF"/>
    <w:rsid w:val="004C686B"/>
    <w:rsid w:val="00512AE8"/>
    <w:rsid w:val="00513CC1"/>
    <w:rsid w:val="0054544D"/>
    <w:rsid w:val="005938DA"/>
    <w:rsid w:val="005A00FC"/>
    <w:rsid w:val="005A3726"/>
    <w:rsid w:val="005B1997"/>
    <w:rsid w:val="005C3050"/>
    <w:rsid w:val="005F13E6"/>
    <w:rsid w:val="006378E5"/>
    <w:rsid w:val="0065640B"/>
    <w:rsid w:val="00664A66"/>
    <w:rsid w:val="0069147F"/>
    <w:rsid w:val="00692029"/>
    <w:rsid w:val="006B64F2"/>
    <w:rsid w:val="006C4F3B"/>
    <w:rsid w:val="006D62D7"/>
    <w:rsid w:val="006F4E0C"/>
    <w:rsid w:val="006F569A"/>
    <w:rsid w:val="007065B5"/>
    <w:rsid w:val="00715DA4"/>
    <w:rsid w:val="00751358"/>
    <w:rsid w:val="0075310F"/>
    <w:rsid w:val="00763EA4"/>
    <w:rsid w:val="00776191"/>
    <w:rsid w:val="0078315C"/>
    <w:rsid w:val="00783BF1"/>
    <w:rsid w:val="007A5B69"/>
    <w:rsid w:val="007B708E"/>
    <w:rsid w:val="007E6DD2"/>
    <w:rsid w:val="007F74BE"/>
    <w:rsid w:val="007F7AD9"/>
    <w:rsid w:val="00823856"/>
    <w:rsid w:val="00825A77"/>
    <w:rsid w:val="00825F25"/>
    <w:rsid w:val="00826301"/>
    <w:rsid w:val="008336F6"/>
    <w:rsid w:val="008516CB"/>
    <w:rsid w:val="00872E26"/>
    <w:rsid w:val="00886A64"/>
    <w:rsid w:val="008A5675"/>
    <w:rsid w:val="009039AA"/>
    <w:rsid w:val="00930090"/>
    <w:rsid w:val="00991649"/>
    <w:rsid w:val="009B6E7A"/>
    <w:rsid w:val="009D55D3"/>
    <w:rsid w:val="009D5739"/>
    <w:rsid w:val="009E5AF5"/>
    <w:rsid w:val="00A06199"/>
    <w:rsid w:val="00A07717"/>
    <w:rsid w:val="00A12780"/>
    <w:rsid w:val="00A32875"/>
    <w:rsid w:val="00A40E09"/>
    <w:rsid w:val="00A444C9"/>
    <w:rsid w:val="00A638FE"/>
    <w:rsid w:val="00A83112"/>
    <w:rsid w:val="00A84959"/>
    <w:rsid w:val="00A96243"/>
    <w:rsid w:val="00AB750F"/>
    <w:rsid w:val="00AC5379"/>
    <w:rsid w:val="00AC5D2A"/>
    <w:rsid w:val="00AF0244"/>
    <w:rsid w:val="00AF6DC8"/>
    <w:rsid w:val="00B20392"/>
    <w:rsid w:val="00B4203C"/>
    <w:rsid w:val="00B469FA"/>
    <w:rsid w:val="00B565BF"/>
    <w:rsid w:val="00BA7DC1"/>
    <w:rsid w:val="00BB1768"/>
    <w:rsid w:val="00BC10EA"/>
    <w:rsid w:val="00BD5812"/>
    <w:rsid w:val="00BD59A3"/>
    <w:rsid w:val="00BF175E"/>
    <w:rsid w:val="00C26DE0"/>
    <w:rsid w:val="00C3048B"/>
    <w:rsid w:val="00C67C80"/>
    <w:rsid w:val="00C83226"/>
    <w:rsid w:val="00C87B55"/>
    <w:rsid w:val="00CB2390"/>
    <w:rsid w:val="00CC3B10"/>
    <w:rsid w:val="00CE1A35"/>
    <w:rsid w:val="00CE5ED0"/>
    <w:rsid w:val="00CF3408"/>
    <w:rsid w:val="00D01C8A"/>
    <w:rsid w:val="00D150ED"/>
    <w:rsid w:val="00D201F0"/>
    <w:rsid w:val="00D2480A"/>
    <w:rsid w:val="00D35271"/>
    <w:rsid w:val="00D54EF0"/>
    <w:rsid w:val="00D7516D"/>
    <w:rsid w:val="00D768C1"/>
    <w:rsid w:val="00D85FB0"/>
    <w:rsid w:val="00D8693F"/>
    <w:rsid w:val="00D87524"/>
    <w:rsid w:val="00D91595"/>
    <w:rsid w:val="00D97383"/>
    <w:rsid w:val="00DC37E2"/>
    <w:rsid w:val="00DC7369"/>
    <w:rsid w:val="00DD4617"/>
    <w:rsid w:val="00DD6801"/>
    <w:rsid w:val="00DE3D55"/>
    <w:rsid w:val="00E029F2"/>
    <w:rsid w:val="00E13C07"/>
    <w:rsid w:val="00E306D4"/>
    <w:rsid w:val="00E31508"/>
    <w:rsid w:val="00E4192F"/>
    <w:rsid w:val="00E53982"/>
    <w:rsid w:val="00E5567B"/>
    <w:rsid w:val="00E61761"/>
    <w:rsid w:val="00E77A12"/>
    <w:rsid w:val="00E93469"/>
    <w:rsid w:val="00EA6D35"/>
    <w:rsid w:val="00EE0BEB"/>
    <w:rsid w:val="00EF6757"/>
    <w:rsid w:val="00F010EE"/>
    <w:rsid w:val="00F163C1"/>
    <w:rsid w:val="00F44212"/>
    <w:rsid w:val="00F471D6"/>
    <w:rsid w:val="00F62902"/>
    <w:rsid w:val="00F70011"/>
    <w:rsid w:val="00F941D1"/>
    <w:rsid w:val="00FB1940"/>
    <w:rsid w:val="00FB503B"/>
    <w:rsid w:val="00FD1863"/>
    <w:rsid w:val="00FD1A16"/>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B5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spacing w:after="0" w:line="240" w:lineRule="auto"/>
      <w:ind w:firstLine="720"/>
    </w:pPr>
    <w:rPr>
      <w:rFonts w:ascii="Arial" w:hAnsi="Arial" w:cs="Arial"/>
      <w:sz w:val="20"/>
      <w:szCs w:val="20"/>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styleId="a4">
    <w:name w:val="Title"/>
    <w:basedOn w:val="a"/>
    <w:link w:val="a5"/>
    <w:uiPriority w:val="99"/>
    <w:qFormat/>
    <w:locked/>
    <w:rsid w:val="006B64F2"/>
    <w:pPr>
      <w:autoSpaceDE w:val="0"/>
      <w:autoSpaceDN w:val="0"/>
      <w:spacing w:line="280" w:lineRule="exact"/>
      <w:ind w:firstLine="288"/>
      <w:jc w:val="center"/>
    </w:pPr>
    <w:rPr>
      <w:rFonts w:ascii="Arial" w:hAnsi="Arial" w:cs="Arial"/>
    </w:rPr>
  </w:style>
  <w:style w:type="paragraph" w:styleId="a6">
    <w:name w:val="Balloon Text"/>
    <w:basedOn w:val="a"/>
    <w:link w:val="a7"/>
    <w:uiPriority w:val="99"/>
    <w:rsid w:val="00A96243"/>
    <w:rPr>
      <w:rFonts w:ascii="Segoe UI" w:hAnsi="Segoe UI" w:cs="Segoe UI"/>
      <w:sz w:val="18"/>
      <w:szCs w:val="18"/>
    </w:rPr>
  </w:style>
  <w:style w:type="character" w:customStyle="1" w:styleId="a5">
    <w:name w:val="Название Знак"/>
    <w:basedOn w:val="a0"/>
    <w:link w:val="a4"/>
    <w:uiPriority w:val="99"/>
    <w:locked/>
    <w:rsid w:val="006B64F2"/>
    <w:rPr>
      <w:rFonts w:ascii="Arial" w:hAnsi="Arial" w:cs="Arial"/>
      <w:sz w:val="24"/>
      <w:szCs w:val="24"/>
    </w:rPr>
  </w:style>
  <w:style w:type="character" w:customStyle="1" w:styleId="a7">
    <w:name w:val="Текст выноски Знак"/>
    <w:basedOn w:val="a0"/>
    <w:link w:val="a6"/>
    <w:uiPriority w:val="99"/>
    <w:locked/>
    <w:rsid w:val="00A96243"/>
    <w:rPr>
      <w:rFonts w:ascii="Segoe UI" w:hAnsi="Segoe UI" w:cs="Segoe UI"/>
      <w:sz w:val="18"/>
      <w:szCs w:val="18"/>
    </w:rPr>
  </w:style>
  <w:style w:type="paragraph" w:customStyle="1" w:styleId="Default">
    <w:name w:val="Default"/>
    <w:rsid w:val="00D85FB0"/>
    <w:pPr>
      <w:autoSpaceDE w:val="0"/>
      <w:autoSpaceDN w:val="0"/>
      <w:adjustRightInd w:val="0"/>
      <w:spacing w:after="0" w:line="240" w:lineRule="auto"/>
    </w:pPr>
    <w:rPr>
      <w:color w:val="000000"/>
      <w:sz w:val="24"/>
      <w:szCs w:val="24"/>
      <w:lang w:eastAsia="en-US"/>
    </w:rPr>
  </w:style>
  <w:style w:type="paragraph" w:styleId="a8">
    <w:name w:val="header"/>
    <w:basedOn w:val="a"/>
    <w:link w:val="a9"/>
    <w:uiPriority w:val="99"/>
    <w:unhideWhenUsed/>
    <w:rsid w:val="00043418"/>
    <w:pPr>
      <w:tabs>
        <w:tab w:val="center" w:pos="4677"/>
        <w:tab w:val="right" w:pos="9355"/>
      </w:tabs>
    </w:pPr>
  </w:style>
  <w:style w:type="character" w:customStyle="1" w:styleId="a9">
    <w:name w:val="Верхний колонтитул Знак"/>
    <w:basedOn w:val="a0"/>
    <w:link w:val="a8"/>
    <w:uiPriority w:val="99"/>
    <w:locked/>
    <w:rsid w:val="00043418"/>
    <w:rPr>
      <w:rFonts w:cs="Times New Roman"/>
      <w:sz w:val="24"/>
      <w:szCs w:val="24"/>
    </w:rPr>
  </w:style>
  <w:style w:type="paragraph" w:styleId="aa">
    <w:name w:val="footer"/>
    <w:basedOn w:val="a"/>
    <w:link w:val="ab"/>
    <w:uiPriority w:val="99"/>
    <w:unhideWhenUsed/>
    <w:rsid w:val="00043418"/>
    <w:pPr>
      <w:tabs>
        <w:tab w:val="center" w:pos="4677"/>
        <w:tab w:val="right" w:pos="9355"/>
      </w:tabs>
    </w:pPr>
  </w:style>
  <w:style w:type="character" w:customStyle="1" w:styleId="ab">
    <w:name w:val="Нижний колонтитул Знак"/>
    <w:basedOn w:val="a0"/>
    <w:link w:val="aa"/>
    <w:uiPriority w:val="99"/>
    <w:locked/>
    <w:rsid w:val="0004341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86165246">
      <w:marLeft w:val="0"/>
      <w:marRight w:val="0"/>
      <w:marTop w:val="0"/>
      <w:marBottom w:val="0"/>
      <w:divBdr>
        <w:top w:val="none" w:sz="0" w:space="0" w:color="auto"/>
        <w:left w:val="none" w:sz="0" w:space="0" w:color="auto"/>
        <w:bottom w:val="none" w:sz="0" w:space="0" w:color="auto"/>
        <w:right w:val="none" w:sz="0" w:space="0" w:color="auto"/>
      </w:divBdr>
    </w:div>
    <w:div w:id="486165247">
      <w:marLeft w:val="0"/>
      <w:marRight w:val="0"/>
      <w:marTop w:val="0"/>
      <w:marBottom w:val="0"/>
      <w:divBdr>
        <w:top w:val="none" w:sz="0" w:space="0" w:color="auto"/>
        <w:left w:val="none" w:sz="0" w:space="0" w:color="auto"/>
        <w:bottom w:val="none" w:sz="0" w:space="0" w:color="auto"/>
        <w:right w:val="none" w:sz="0" w:space="0" w:color="auto"/>
      </w:divBdr>
    </w:div>
    <w:div w:id="486165248">
      <w:marLeft w:val="0"/>
      <w:marRight w:val="0"/>
      <w:marTop w:val="0"/>
      <w:marBottom w:val="0"/>
      <w:divBdr>
        <w:top w:val="none" w:sz="0" w:space="0" w:color="auto"/>
        <w:left w:val="none" w:sz="0" w:space="0" w:color="auto"/>
        <w:bottom w:val="none" w:sz="0" w:space="0" w:color="auto"/>
        <w:right w:val="none" w:sz="0" w:space="0" w:color="auto"/>
      </w:divBdr>
    </w:div>
    <w:div w:id="48616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024_частично действующая редакция</Статус_x0020_документа>
    <_EndDate xmlns="http://schemas.microsoft.com/sharepoint/v3/fields">24.12.2019</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45BC8-E104-4522-949E-C89E2D8E7291}"/>
</file>

<file path=customXml/itemProps2.xml><?xml version="1.0" encoding="utf-8"?>
<ds:datastoreItem xmlns:ds="http://schemas.openxmlformats.org/officeDocument/2006/customXml" ds:itemID="{669451D5-1509-4000-83FA-4AA8E65FA19D}"/>
</file>

<file path=customXml/itemProps3.xml><?xml version="1.0" encoding="utf-8"?>
<ds:datastoreItem xmlns:ds="http://schemas.openxmlformats.org/officeDocument/2006/customXml" ds:itemID="{0871B982-90BD-4243-A965-0F640BA66ACF}"/>
</file>

<file path=docProps/app.xml><?xml version="1.0" encoding="utf-8"?>
<Properties xmlns="http://schemas.openxmlformats.org/officeDocument/2006/extended-properties" xmlns:vt="http://schemas.openxmlformats.org/officeDocument/2006/docPropsVTypes">
  <Template>Normal.dotm</Template>
  <TotalTime>0</TotalTime>
  <Pages>3</Pages>
  <Words>7118</Words>
  <Characters>40576</Characters>
  <Application>Microsoft Office Word</Application>
  <DocSecurity>0</DocSecurity>
  <Lines>338</Lines>
  <Paragraphs>95</Paragraphs>
  <ScaleCrop>false</ScaleCrop>
  <Company>ЗАО "УК "Рацио-капитал"</Company>
  <LinksUpToDate>false</LinksUpToDate>
  <CharactersWithSpaces>47599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Пользователь</dc:creator>
  <cp:lastModifiedBy>kondratieva</cp:lastModifiedBy>
  <cp:revision>2</cp:revision>
  <cp:lastPrinted>2017-06-20T07:17:00Z</cp:lastPrinted>
  <dcterms:created xsi:type="dcterms:W3CDTF">2019-11-18T13:58:00Z</dcterms:created>
  <dcterms:modified xsi:type="dcterms:W3CDTF">2019-11-18T13:58:00Z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_dlc_DocIdItemGuid">
    <vt:lpwstr>cd85fc6e-4ae3-47c1-935c-9f6e7f87c72c</vt:lpwstr>
  </property>
</Properties>
</file>