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114D44" w:rsidRPr="00114D44">
        <w:rPr>
          <w:b/>
          <w:bCs/>
          <w:sz w:val="22"/>
          <w:szCs w:val="22"/>
        </w:rPr>
        <w:t xml:space="preserve">АТОН – Медицина и </w:t>
      </w:r>
      <w:proofErr w:type="spellStart"/>
      <w:r w:rsidR="00114D44" w:rsidRPr="00114D44">
        <w:rPr>
          <w:b/>
          <w:bCs/>
          <w:sz w:val="22"/>
          <w:szCs w:val="22"/>
        </w:rPr>
        <w:t>биотех</w:t>
      </w:r>
      <w:proofErr w:type="spellEnd"/>
      <w:r w:rsidR="00114D44" w:rsidRPr="00114D44">
        <w:rPr>
          <w:b/>
          <w:bCs/>
          <w:sz w:val="22"/>
          <w:szCs w:val="22"/>
        </w:rPr>
        <w:t xml:space="preserve"> США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114D44" w:rsidRPr="00114D44">
        <w:rPr>
          <w:sz w:val="20"/>
          <w:szCs w:val="20"/>
        </w:rPr>
        <w:t>4339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4A7813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4A7813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4A7813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4A7813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4A7813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4A78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A7813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644D87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0F7922" w:rsidRPr="000F7922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0F7922" w:rsidP="000F792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0F7922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0F7922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4A7813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4A7813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4A7813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4A7813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4A7813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4A7813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4A7813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4A7813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4A7813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4A7813" w:rsidRPr="004A7813" w:rsidRDefault="004A7813" w:rsidP="004A781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7813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4A7813">
              <w:rPr>
                <w:b/>
                <w:sz w:val="22"/>
                <w:szCs w:val="20"/>
              </w:rPr>
              <w:t>0,05 (Ноля целых пяти сотых)</w:t>
            </w:r>
            <w:r w:rsidRPr="004A7813">
              <w:rPr>
                <w:sz w:val="22"/>
                <w:szCs w:val="20"/>
              </w:rPr>
              <w:t xml:space="preserve"> процента </w:t>
            </w:r>
            <w:r w:rsidRPr="004A7813">
              <w:rPr>
                <w:sz w:val="22"/>
                <w:szCs w:val="22"/>
              </w:rPr>
              <w:t xml:space="preserve">(включая НДС) </w:t>
            </w:r>
            <w:r w:rsidRPr="004A7813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4A7813" w:rsidRPr="004A7813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4A7813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8F2390" w:rsidRPr="008F2390" w:rsidRDefault="004A7813" w:rsidP="004A7813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4A7813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05367E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6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05367E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05367E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4A7813" w:rsidP="00D81FE3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4A7813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4A7813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4A7813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4A7813">
              <w:rPr>
                <w:rFonts w:eastAsia="Calibri"/>
                <w:sz w:val="22"/>
                <w:szCs w:val="22"/>
                <w:lang w:eastAsia="en-US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  <w:bookmarkStart w:id="0" w:name="_GoBack"/>
            <w:bookmarkEnd w:id="0"/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BB79EF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345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367E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0F7922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4D44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D7F01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62B9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A7813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1738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4D87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4581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B79EF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345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CA88CC60-B572-49A6-B4B2-8E105168F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10888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2021-06-25T06:46:00Z</dcterms:created>
  <dcterms:modified xsi:type="dcterms:W3CDTF">2021-06-25T06:46:00Z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