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55151D" w:rsidRDefault="00362878"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3D6635">
        <w:rPr>
          <w:bCs/>
          <w:sz w:val="22"/>
          <w:szCs w:val="22"/>
          <w:lang w:val="ru-RU"/>
        </w:rPr>
        <w:t xml:space="preserve"> </w:t>
      </w:r>
    </w:p>
    <w:p w:rsidR="002857B3" w:rsidRPr="00623270" w:rsidRDefault="003D6635"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55151D">
        <w:rPr>
          <w:bCs/>
          <w:sz w:val="22"/>
          <w:szCs w:val="22"/>
          <w:lang w:val="ru-RU"/>
        </w:rPr>
        <w:t>15</w:t>
      </w:r>
      <w:r w:rsidR="002857B3" w:rsidRPr="00623270">
        <w:rPr>
          <w:bCs/>
          <w:sz w:val="22"/>
          <w:szCs w:val="22"/>
          <w:lang w:val="ru-RU"/>
        </w:rPr>
        <w:t xml:space="preserve">» </w:t>
      </w:r>
      <w:r w:rsidR="00362878">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A900F6"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362878">
        <w:rPr>
          <w:bCs/>
          <w:sz w:val="22"/>
          <w:szCs w:val="22"/>
          <w:lang w:val="ru-RU"/>
        </w:rPr>
        <w:t>Коньшина</w:t>
      </w:r>
      <w:proofErr w:type="spellEnd"/>
      <w:r w:rsidR="00362878" w:rsidRPr="00623270">
        <w:rPr>
          <w:bCs/>
          <w:sz w:val="22"/>
          <w:szCs w:val="22"/>
          <w:lang w:val="ru-RU"/>
        </w:rPr>
        <w:t xml:space="preserve"> </w:t>
      </w:r>
      <w:r w:rsidR="00362878">
        <w:rPr>
          <w:bCs/>
          <w:sz w:val="22"/>
          <w:szCs w:val="22"/>
          <w:lang w:val="ru-RU"/>
        </w:rPr>
        <w:t>О</w:t>
      </w:r>
      <w:r w:rsidRPr="00623270">
        <w:rPr>
          <w:bCs/>
          <w:sz w:val="22"/>
          <w:szCs w:val="22"/>
          <w:lang w:val="ru-RU"/>
        </w:rPr>
        <w:t xml:space="preserve">. </w:t>
      </w:r>
      <w:r w:rsidR="00362878">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6B6D25" w:rsidRPr="006B6D25">
        <w:rPr>
          <w:rFonts w:ascii="Times New Roman" w:hAnsi="Times New Roman"/>
          <w:b/>
          <w:bCs/>
          <w:sz w:val="24"/>
          <w:szCs w:val="24"/>
        </w:rPr>
        <w:t>АТОН - Доходные облигации Мира</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6B6D25" w:rsidRPr="006B6D25">
        <w:rPr>
          <w:rFonts w:ascii="Times New Roman" w:hAnsi="Times New Roman" w:cs="Times New Roman"/>
          <w:szCs w:val="22"/>
        </w:rPr>
        <w:t>АТОН - Доходные облигации Мира</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6B6D25" w:rsidRPr="006B6D25">
        <w:rPr>
          <w:rFonts w:ascii="Times New Roman" w:hAnsi="Times New Roman" w:cs="Times New Roman"/>
          <w:szCs w:val="22"/>
        </w:rPr>
        <w:t>АТОН - Доходные облигации Мира</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E62E58">
        <w:rPr>
          <w:rFonts w:ascii="Times New Roman" w:hAnsi="Times New Roman" w:cs="Times New Roman"/>
          <w:szCs w:val="22"/>
        </w:rPr>
        <w:t>«</w:t>
      </w:r>
      <w:proofErr w:type="spellStart"/>
      <w:r w:rsidR="00862335" w:rsidRPr="00862335">
        <w:rPr>
          <w:rFonts w:ascii="Times New Roman" w:hAnsi="Times New Roman" w:cs="Times New Roman"/>
          <w:szCs w:val="22"/>
        </w:rPr>
        <w:t>iShares</w:t>
      </w:r>
      <w:proofErr w:type="spellEnd"/>
      <w:r w:rsidR="00862335" w:rsidRPr="00862335">
        <w:rPr>
          <w:rFonts w:ascii="Times New Roman" w:hAnsi="Times New Roman" w:cs="Times New Roman"/>
          <w:szCs w:val="22"/>
        </w:rPr>
        <w:t xml:space="preserve"> </w:t>
      </w:r>
      <w:proofErr w:type="spellStart"/>
      <w:r w:rsidR="00862335" w:rsidRPr="00862335">
        <w:rPr>
          <w:rFonts w:ascii="Times New Roman" w:hAnsi="Times New Roman" w:cs="Times New Roman"/>
          <w:szCs w:val="22"/>
        </w:rPr>
        <w:t>iBoxx</w:t>
      </w:r>
      <w:proofErr w:type="spellEnd"/>
      <w:r w:rsidR="00862335" w:rsidRPr="00862335">
        <w:rPr>
          <w:rFonts w:ascii="Times New Roman" w:hAnsi="Times New Roman" w:cs="Times New Roman"/>
          <w:szCs w:val="22"/>
        </w:rPr>
        <w:t xml:space="preserve"> $ </w:t>
      </w:r>
      <w:proofErr w:type="spellStart"/>
      <w:r w:rsidR="00862335" w:rsidRPr="00862335">
        <w:rPr>
          <w:rFonts w:ascii="Times New Roman" w:hAnsi="Times New Roman" w:cs="Times New Roman"/>
          <w:szCs w:val="22"/>
        </w:rPr>
        <w:t>High</w:t>
      </w:r>
      <w:proofErr w:type="spellEnd"/>
      <w:r w:rsidR="00862335" w:rsidRPr="00862335">
        <w:rPr>
          <w:rFonts w:ascii="Times New Roman" w:hAnsi="Times New Roman" w:cs="Times New Roman"/>
          <w:szCs w:val="22"/>
        </w:rPr>
        <w:t xml:space="preserve"> </w:t>
      </w:r>
      <w:proofErr w:type="spellStart"/>
      <w:r w:rsidR="00862335" w:rsidRPr="00862335">
        <w:rPr>
          <w:rFonts w:ascii="Times New Roman" w:hAnsi="Times New Roman" w:cs="Times New Roman"/>
          <w:szCs w:val="22"/>
        </w:rPr>
        <w:t>Yield</w:t>
      </w:r>
      <w:proofErr w:type="spellEnd"/>
      <w:r w:rsidR="00862335" w:rsidRPr="00862335">
        <w:rPr>
          <w:rFonts w:ascii="Times New Roman" w:hAnsi="Times New Roman" w:cs="Times New Roman"/>
          <w:szCs w:val="22"/>
        </w:rPr>
        <w:t xml:space="preserve"> </w:t>
      </w:r>
      <w:proofErr w:type="spellStart"/>
      <w:r w:rsidR="00862335" w:rsidRPr="00862335">
        <w:rPr>
          <w:rFonts w:ascii="Times New Roman" w:hAnsi="Times New Roman" w:cs="Times New Roman"/>
          <w:szCs w:val="22"/>
        </w:rPr>
        <w:t>Corporate</w:t>
      </w:r>
      <w:proofErr w:type="spellEnd"/>
      <w:r w:rsidR="00862335" w:rsidRPr="00862335">
        <w:rPr>
          <w:rFonts w:ascii="Times New Roman" w:hAnsi="Times New Roman" w:cs="Times New Roman"/>
          <w:szCs w:val="22"/>
        </w:rPr>
        <w:t xml:space="preserve"> </w:t>
      </w:r>
      <w:proofErr w:type="spellStart"/>
      <w:r w:rsidR="00862335" w:rsidRPr="00862335">
        <w:rPr>
          <w:rFonts w:ascii="Times New Roman" w:hAnsi="Times New Roman" w:cs="Times New Roman"/>
          <w:szCs w:val="22"/>
        </w:rPr>
        <w:t>Bond</w:t>
      </w:r>
      <w:proofErr w:type="spellEnd"/>
      <w:r w:rsidR="00862335" w:rsidRPr="00862335">
        <w:rPr>
          <w:rFonts w:ascii="Times New Roman" w:hAnsi="Times New Roman" w:cs="Times New Roman"/>
          <w:szCs w:val="22"/>
        </w:rPr>
        <w:t xml:space="preserve"> ETF, ISIN US4642885135</w:t>
      </w:r>
      <w:r w:rsidR="00E62E58">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E62E58" w:rsidRDefault="00E62E58" w:rsidP="00C8705E">
      <w:pPr>
        <w:pStyle w:val="ConsPlusNormal"/>
        <w:ind w:firstLine="539"/>
        <w:jc w:val="both"/>
        <w:rPr>
          <w:rFonts w:ascii="Times New Roman" w:hAnsi="Times New Roman" w:cs="Times New Roman"/>
          <w:bCs/>
          <w:szCs w:val="22"/>
        </w:rPr>
      </w:pPr>
      <w:r w:rsidRPr="00E62E58">
        <w:rPr>
          <w:rFonts w:ascii="Times New Roman" w:hAnsi="Times New Roman" w:cs="Times New Roman"/>
          <w:bCs/>
          <w:szCs w:val="22"/>
        </w:rPr>
        <w:t>Основными активами для инвестирования в рамках настоящих Правил являются паи иностранного инвестиционного фонда «</w:t>
      </w:r>
      <w:proofErr w:type="spellStart"/>
      <w:r w:rsidR="00862335" w:rsidRPr="00862335">
        <w:rPr>
          <w:rFonts w:ascii="Times New Roman" w:hAnsi="Times New Roman" w:cs="Times New Roman"/>
          <w:bCs/>
          <w:szCs w:val="22"/>
        </w:rPr>
        <w:t>iShares</w:t>
      </w:r>
      <w:proofErr w:type="spellEnd"/>
      <w:r w:rsidR="00862335" w:rsidRPr="00862335">
        <w:rPr>
          <w:rFonts w:ascii="Times New Roman" w:hAnsi="Times New Roman" w:cs="Times New Roman"/>
          <w:bCs/>
          <w:szCs w:val="22"/>
        </w:rPr>
        <w:t xml:space="preserve"> </w:t>
      </w:r>
      <w:proofErr w:type="spellStart"/>
      <w:r w:rsidR="00862335" w:rsidRPr="00862335">
        <w:rPr>
          <w:rFonts w:ascii="Times New Roman" w:hAnsi="Times New Roman" w:cs="Times New Roman"/>
          <w:bCs/>
          <w:szCs w:val="22"/>
        </w:rPr>
        <w:t>iBoxx</w:t>
      </w:r>
      <w:proofErr w:type="spellEnd"/>
      <w:r w:rsidR="00862335" w:rsidRPr="00862335">
        <w:rPr>
          <w:rFonts w:ascii="Times New Roman" w:hAnsi="Times New Roman" w:cs="Times New Roman"/>
          <w:bCs/>
          <w:szCs w:val="22"/>
        </w:rPr>
        <w:t xml:space="preserve"> $ </w:t>
      </w:r>
      <w:proofErr w:type="spellStart"/>
      <w:r w:rsidR="00862335" w:rsidRPr="00862335">
        <w:rPr>
          <w:rFonts w:ascii="Times New Roman" w:hAnsi="Times New Roman" w:cs="Times New Roman"/>
          <w:bCs/>
          <w:szCs w:val="22"/>
        </w:rPr>
        <w:t>High</w:t>
      </w:r>
      <w:proofErr w:type="spellEnd"/>
      <w:r w:rsidR="00862335" w:rsidRPr="00862335">
        <w:rPr>
          <w:rFonts w:ascii="Times New Roman" w:hAnsi="Times New Roman" w:cs="Times New Roman"/>
          <w:bCs/>
          <w:szCs w:val="22"/>
        </w:rPr>
        <w:t xml:space="preserve"> </w:t>
      </w:r>
      <w:proofErr w:type="spellStart"/>
      <w:r w:rsidR="00862335" w:rsidRPr="00862335">
        <w:rPr>
          <w:rFonts w:ascii="Times New Roman" w:hAnsi="Times New Roman" w:cs="Times New Roman"/>
          <w:bCs/>
          <w:szCs w:val="22"/>
        </w:rPr>
        <w:t>Yield</w:t>
      </w:r>
      <w:proofErr w:type="spellEnd"/>
      <w:r w:rsidR="00862335" w:rsidRPr="00862335">
        <w:rPr>
          <w:rFonts w:ascii="Times New Roman" w:hAnsi="Times New Roman" w:cs="Times New Roman"/>
          <w:bCs/>
          <w:szCs w:val="22"/>
        </w:rPr>
        <w:t xml:space="preserve"> </w:t>
      </w:r>
      <w:proofErr w:type="spellStart"/>
      <w:r w:rsidR="00862335" w:rsidRPr="00862335">
        <w:rPr>
          <w:rFonts w:ascii="Times New Roman" w:hAnsi="Times New Roman" w:cs="Times New Roman"/>
          <w:bCs/>
          <w:szCs w:val="22"/>
        </w:rPr>
        <w:t>Corporate</w:t>
      </w:r>
      <w:proofErr w:type="spellEnd"/>
      <w:r w:rsidR="00862335" w:rsidRPr="00862335">
        <w:rPr>
          <w:rFonts w:ascii="Times New Roman" w:hAnsi="Times New Roman" w:cs="Times New Roman"/>
          <w:bCs/>
          <w:szCs w:val="22"/>
        </w:rPr>
        <w:t xml:space="preserve"> </w:t>
      </w:r>
      <w:proofErr w:type="spellStart"/>
      <w:r w:rsidR="00862335" w:rsidRPr="00862335">
        <w:rPr>
          <w:rFonts w:ascii="Times New Roman" w:hAnsi="Times New Roman" w:cs="Times New Roman"/>
          <w:bCs/>
          <w:szCs w:val="22"/>
        </w:rPr>
        <w:t>Bond</w:t>
      </w:r>
      <w:proofErr w:type="spellEnd"/>
      <w:r w:rsidR="00862335" w:rsidRPr="00862335">
        <w:rPr>
          <w:rFonts w:ascii="Times New Roman" w:hAnsi="Times New Roman" w:cs="Times New Roman"/>
          <w:bCs/>
          <w:szCs w:val="22"/>
        </w:rPr>
        <w:t xml:space="preserve"> ETF, ISIN US4642885135</w:t>
      </w:r>
      <w:r w:rsidRPr="00E62E58">
        <w:rPr>
          <w:rFonts w:ascii="Times New Roman" w:hAnsi="Times New Roman" w:cs="Times New Roman"/>
          <w:bCs/>
          <w:szCs w:val="22"/>
        </w:rPr>
        <w:t>»</w:t>
      </w:r>
      <w:r w:rsidR="004A784A">
        <w:rPr>
          <w:rFonts w:ascii="Times New Roman" w:hAnsi="Times New Roman" w:cs="Times New Roman"/>
          <w:bCs/>
          <w:szCs w:val="22"/>
        </w:rPr>
        <w:t>,</w:t>
      </w:r>
      <w:r w:rsidRPr="00E62E58">
        <w:rPr>
          <w:rFonts w:ascii="Times New Roman" w:hAnsi="Times New Roman" w:cs="Times New Roman"/>
          <w:bCs/>
          <w:szCs w:val="22"/>
        </w:rPr>
        <w:t xml:space="preserve"> активы которого преимущественно инвестированы в облигации</w:t>
      </w:r>
      <w:r w:rsidR="0087717D">
        <w:rPr>
          <w:rFonts w:ascii="Times New Roman" w:hAnsi="Times New Roman" w:cs="Times New Roman"/>
          <w:bCs/>
          <w:szCs w:val="22"/>
        </w:rPr>
        <w:t>.</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 xml:space="preserve">б) если код  CFI присвоен указанным паям (акциям) в соответствии с международным </w:t>
      </w:r>
      <w:r w:rsidRPr="00C760BB">
        <w:rPr>
          <w:rFonts w:ascii="Times New Roman" w:eastAsia="Times New Roman" w:hAnsi="Times New Roman" w:cs="Times New Roman"/>
          <w:lang w:eastAsia="ru-RU"/>
        </w:rPr>
        <w:lastRenderedPageBreak/>
        <w:t>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362878">
        <w:rPr>
          <w:rFonts w:ascii="Times New Roman" w:eastAsia="Times New Roman" w:hAnsi="Times New Roman" w:cs="Times New Roman"/>
        </w:rPr>
        <w:t>7</w:t>
      </w:r>
      <w:r w:rsidR="00362878"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1D4C64"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1D4C64"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1D4C64"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w:t>
      </w:r>
      <w:r w:rsidRPr="00C760BB">
        <w:rPr>
          <w:rFonts w:ascii="Times New Roman" w:eastAsia="Times New Roman" w:hAnsi="Times New Roman" w:cs="Arial"/>
          <w:lang w:eastAsia="ru-RU"/>
        </w:rPr>
        <w:lastRenderedPageBreak/>
        <w:t>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1D4C64" w:rsidRPr="00805D30" w:rsidRDefault="001D4C64" w:rsidP="001D4C64">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1) российские органы государственной власти;</w:t>
      </w:r>
    </w:p>
    <w:p w:rsidR="001D4C64" w:rsidRPr="00805D30" w:rsidRDefault="001D4C64" w:rsidP="001D4C64">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2) иностранные органы государственной власти;</w:t>
      </w:r>
    </w:p>
    <w:p w:rsidR="001D4C64" w:rsidRPr="00805D30" w:rsidRDefault="001D4C64" w:rsidP="001D4C64">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3) 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1D4C64">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w:t>
      </w:r>
      <w:r w:rsidR="002F00AB" w:rsidRPr="002F00AB">
        <w:t xml:space="preserve"> </w:t>
      </w:r>
      <w:r w:rsidR="002F00AB" w:rsidRPr="002F00AB">
        <w:rPr>
          <w:rFonts w:ascii="Times New Roman" w:eastAsia="Times New Roman" w:hAnsi="Times New Roman" w:cs="Times New Roman"/>
        </w:rPr>
        <w:t>ценным бумагам административно-территориального образования иностранного государства,</w:t>
      </w:r>
      <w:r w:rsidRPr="00C760BB">
        <w:rPr>
          <w:rFonts w:ascii="Times New Roman" w:eastAsia="Times New Roman" w:hAnsi="Times New Roman" w:cs="Times New Roman"/>
        </w:rPr>
        <w:t xml:space="preserve"> 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 xml:space="preserve">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w:t>
      </w:r>
      <w:r w:rsidRPr="00C05188">
        <w:rPr>
          <w:rFonts w:ascii="Times New Roman" w:eastAsia="Times New Roman" w:hAnsi="Times New Roman" w:cs="Times New Roman"/>
          <w:lang w:eastAsia="ru-RU"/>
        </w:rPr>
        <w:lastRenderedPageBreak/>
        <w:t>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lastRenderedPageBreak/>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BD289A" w:rsidRPr="00766468">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687955" w:rsidRDefault="00CC4DFB" w:rsidP="0076646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5) Н</w:t>
      </w:r>
      <w:r w:rsidRPr="00CC4DFB">
        <w:rPr>
          <w:rFonts w:ascii="Times New Roman" w:eastAsia="Times New Roman" w:hAnsi="Times New Roman" w:cs="Times New Roman"/>
          <w:lang w:eastAsia="ru-RU"/>
        </w:rPr>
        <w:t>е менее  двух третей рабочих дней в течение одного календарного года суммарная оценочная стоимость активов, предусмотренных подпунктом 22 Правил (далее в настоящем подпункте – Активы), а также российских и иностранных депозитарных 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w:t>
      </w:r>
      <w:proofErr w:type="gramEnd"/>
      <w:r w:rsidRPr="00CC4DFB">
        <w:rPr>
          <w:rFonts w:ascii="Times New Roman" w:eastAsia="Times New Roman" w:hAnsi="Times New Roman" w:cs="Times New Roman"/>
          <w:lang w:eastAsia="ru-RU"/>
        </w:rPr>
        <w:t xml:space="preserve"> </w:t>
      </w:r>
      <w:proofErr w:type="gramStart"/>
      <w:r w:rsidRPr="00CC4DFB">
        <w:rPr>
          <w:rFonts w:ascii="Times New Roman" w:eastAsia="Times New Roman" w:hAnsi="Times New Roman" w:cs="Times New Roman"/>
          <w:lang w:eastAsia="ru-RU"/>
        </w:rPr>
        <w:t>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w:t>
      </w:r>
      <w:proofErr w:type="gramEnd"/>
      <w:r w:rsidRPr="00CC4DFB">
        <w:rPr>
          <w:rFonts w:ascii="Times New Roman" w:eastAsia="Times New Roman" w:hAnsi="Times New Roman" w:cs="Times New Roman"/>
          <w:lang w:eastAsia="ru-RU"/>
        </w:rPr>
        <w:t xml:space="preserve">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w:t>
      </w:r>
      <w:r w:rsidRPr="00CB4649">
        <w:rPr>
          <w:rFonts w:ascii="Times New Roman" w:hAnsi="Times New Roman" w:cs="Times New Roman"/>
          <w:sz w:val="22"/>
          <w:szCs w:val="22"/>
        </w:rPr>
        <w:lastRenderedPageBreak/>
        <w:t xml:space="preserve">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 xml:space="preserve">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w:t>
      </w:r>
      <w:r w:rsidRPr="0084712A">
        <w:rPr>
          <w:rFonts w:ascii="Times New Roman" w:hAnsi="Times New Roman" w:cs="Times New Roman"/>
          <w:sz w:val="22"/>
          <w:szCs w:val="22"/>
        </w:rPr>
        <w:lastRenderedPageBreak/>
        <w:t>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 xml:space="preserve">Риск дефолта по облигациям и иным долговым ценным бумагам, который заключается в </w:t>
      </w:r>
      <w:r w:rsidRPr="00D51721">
        <w:rPr>
          <w:rFonts w:ascii="Times New Roman" w:hAnsi="Times New Roman" w:cs="Times New Roman"/>
          <w:sz w:val="22"/>
          <w:szCs w:val="22"/>
        </w:rPr>
        <w:lastRenderedPageBreak/>
        <w:t>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r w:rsidRPr="001E1D38">
        <w:rPr>
          <w:rFonts w:ascii="Times New Roman" w:hAnsi="Times New Roman" w:cs="Times New Roman"/>
          <w:szCs w:val="22"/>
        </w:rPr>
        <w:lastRenderedPageBreak/>
        <w:t>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BD289A" w:rsidRPr="00766468">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lastRenderedPageBreak/>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25636D">
        <w:rPr>
          <w:rFonts w:ascii="Times New Roman" w:hAnsi="Times New Roman" w:cs="Times New Roman"/>
          <w:szCs w:val="22"/>
        </w:rPr>
        <w:t>«</w:t>
      </w:r>
      <w:proofErr w:type="spellStart"/>
      <w:r w:rsidR="00797FF5" w:rsidRPr="00797FF5">
        <w:rPr>
          <w:rFonts w:ascii="Times New Roman" w:hAnsi="Times New Roman" w:cs="Times New Roman"/>
          <w:szCs w:val="22"/>
        </w:rPr>
        <w:t>iShares</w:t>
      </w:r>
      <w:proofErr w:type="spellEnd"/>
      <w:r w:rsidR="00797FF5" w:rsidRPr="00797FF5">
        <w:rPr>
          <w:rFonts w:ascii="Times New Roman" w:hAnsi="Times New Roman" w:cs="Times New Roman"/>
          <w:szCs w:val="22"/>
        </w:rPr>
        <w:t xml:space="preserve"> </w:t>
      </w:r>
      <w:proofErr w:type="spellStart"/>
      <w:r w:rsidR="00797FF5" w:rsidRPr="00797FF5">
        <w:rPr>
          <w:rFonts w:ascii="Times New Roman" w:hAnsi="Times New Roman" w:cs="Times New Roman"/>
          <w:szCs w:val="22"/>
        </w:rPr>
        <w:t>iBoxx</w:t>
      </w:r>
      <w:proofErr w:type="spellEnd"/>
      <w:r w:rsidR="00797FF5" w:rsidRPr="00797FF5">
        <w:rPr>
          <w:rFonts w:ascii="Times New Roman" w:hAnsi="Times New Roman" w:cs="Times New Roman"/>
          <w:szCs w:val="22"/>
        </w:rPr>
        <w:t xml:space="preserve"> $ </w:t>
      </w:r>
      <w:proofErr w:type="spellStart"/>
      <w:r w:rsidR="00797FF5" w:rsidRPr="00797FF5">
        <w:rPr>
          <w:rFonts w:ascii="Times New Roman" w:hAnsi="Times New Roman" w:cs="Times New Roman"/>
          <w:szCs w:val="22"/>
        </w:rPr>
        <w:t>High</w:t>
      </w:r>
      <w:proofErr w:type="spellEnd"/>
      <w:r w:rsidR="00797FF5" w:rsidRPr="00797FF5">
        <w:rPr>
          <w:rFonts w:ascii="Times New Roman" w:hAnsi="Times New Roman" w:cs="Times New Roman"/>
          <w:szCs w:val="22"/>
        </w:rPr>
        <w:t xml:space="preserve"> </w:t>
      </w:r>
      <w:proofErr w:type="spellStart"/>
      <w:r w:rsidR="00797FF5" w:rsidRPr="00797FF5">
        <w:rPr>
          <w:rFonts w:ascii="Times New Roman" w:hAnsi="Times New Roman" w:cs="Times New Roman"/>
          <w:szCs w:val="22"/>
        </w:rPr>
        <w:t>Yield</w:t>
      </w:r>
      <w:proofErr w:type="spellEnd"/>
      <w:r w:rsidR="00797FF5" w:rsidRPr="00797FF5">
        <w:rPr>
          <w:rFonts w:ascii="Times New Roman" w:hAnsi="Times New Roman" w:cs="Times New Roman"/>
          <w:szCs w:val="22"/>
        </w:rPr>
        <w:t xml:space="preserve"> </w:t>
      </w:r>
      <w:proofErr w:type="spellStart"/>
      <w:r w:rsidR="00797FF5" w:rsidRPr="00797FF5">
        <w:rPr>
          <w:rFonts w:ascii="Times New Roman" w:hAnsi="Times New Roman" w:cs="Times New Roman"/>
          <w:szCs w:val="22"/>
        </w:rPr>
        <w:t>Corporate</w:t>
      </w:r>
      <w:proofErr w:type="spellEnd"/>
      <w:r w:rsidR="00797FF5" w:rsidRPr="00797FF5">
        <w:rPr>
          <w:rFonts w:ascii="Times New Roman" w:hAnsi="Times New Roman" w:cs="Times New Roman"/>
          <w:szCs w:val="22"/>
        </w:rPr>
        <w:t xml:space="preserve"> </w:t>
      </w:r>
      <w:proofErr w:type="spellStart"/>
      <w:r w:rsidR="00797FF5" w:rsidRPr="00797FF5">
        <w:rPr>
          <w:rFonts w:ascii="Times New Roman" w:hAnsi="Times New Roman" w:cs="Times New Roman"/>
          <w:szCs w:val="22"/>
        </w:rPr>
        <w:t>Bond</w:t>
      </w:r>
      <w:proofErr w:type="spellEnd"/>
      <w:r w:rsidR="00797FF5" w:rsidRPr="00797FF5">
        <w:rPr>
          <w:rFonts w:ascii="Times New Roman" w:hAnsi="Times New Roman" w:cs="Times New Roman"/>
          <w:szCs w:val="22"/>
        </w:rPr>
        <w:t xml:space="preserve"> ETF, ISIN US4642885135</w:t>
      </w:r>
      <w:r w:rsidR="0025636D">
        <w:rPr>
          <w:rFonts w:ascii="Times New Roman" w:hAnsi="Times New Roman" w:cs="Times New Roman"/>
          <w:szCs w:val="22"/>
        </w:rPr>
        <w:t>»</w:t>
      </w:r>
      <w:r w:rsidR="00BD289A" w:rsidRPr="00766468">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w:t>
      </w:r>
      <w:r w:rsidR="0001479A" w:rsidRPr="006E74D4">
        <w:rPr>
          <w:rFonts w:ascii="Times New Roman" w:hAnsi="Times New Roman" w:cs="Times New Roman"/>
          <w:color w:val="000000" w:themeColor="text1"/>
          <w:szCs w:val="22"/>
        </w:rPr>
        <w:lastRenderedPageBreak/>
        <w:t>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lastRenderedPageBreak/>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w:t>
      </w:r>
      <w:r w:rsidRPr="00C75E25">
        <w:rPr>
          <w:rFonts w:ascii="Times New Roman" w:eastAsia="Times New Roman" w:hAnsi="Times New Roman" w:cs="Times New Roman"/>
          <w:lang w:eastAsia="ru-RU"/>
        </w:rPr>
        <w:lastRenderedPageBreak/>
        <w:t>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BD289A" w:rsidRPr="00766468">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xml:space="preserve">.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w:t>
      </w:r>
      <w:r w:rsidRPr="001E1D38">
        <w:rPr>
          <w:rFonts w:ascii="Times New Roman" w:hAnsi="Times New Roman" w:cs="Times New Roman"/>
          <w:szCs w:val="22"/>
        </w:rPr>
        <w:lastRenderedPageBreak/>
        <w:t>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BD289A" w:rsidRPr="00766468">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BD289A" w:rsidRPr="00766468">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BD289A" w:rsidRPr="00766468">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BD289A" w:rsidRPr="00766468">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BD289A" w:rsidRPr="00766468">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BD289A" w:rsidRPr="00766468">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BD289A" w:rsidRPr="00766468">
        <w:rPr>
          <w:rFonts w:ascii="Times New Roman" w:hAnsi="Times New Roman" w:cs="Times New Roman"/>
          <w:szCs w:val="22"/>
        </w:rPr>
        <w:t>ое</w:t>
      </w:r>
      <w:r w:rsidR="00F3524E" w:rsidRPr="00F3524E">
        <w:rPr>
          <w:rFonts w:ascii="Times New Roman" w:hAnsi="Times New Roman" w:cs="Times New Roman"/>
          <w:szCs w:val="22"/>
        </w:rPr>
        <w:t xml:space="preserve"> </w:t>
      </w:r>
      <w:r w:rsidR="00BD289A" w:rsidRPr="00766468">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BD289A" w:rsidRPr="00766468">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BD289A" w:rsidRPr="00766468">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BD289A" w:rsidRPr="00766468">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BD289A" w:rsidRPr="00766468">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BD289A" w:rsidRPr="00766468">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 xml:space="preserve">в оплату инвестиционных паев согласно указанным заявкам, </w:t>
      </w:r>
      <w:r w:rsidRPr="00767B8E">
        <w:rPr>
          <w:rFonts w:ascii="Times New Roman" w:hAnsi="Times New Roman" w:cs="Times New Roman"/>
          <w:szCs w:val="22"/>
        </w:rPr>
        <w:lastRenderedPageBreak/>
        <w:t>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BD289A" w:rsidRPr="00766468">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BD289A" w:rsidRPr="00766468">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BD289A" w:rsidRPr="00766468">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BD289A" w:rsidRPr="00766468">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w:t>
      </w:r>
      <w:r w:rsidRPr="009C4293">
        <w:rPr>
          <w:rFonts w:ascii="Times New Roman" w:hAnsi="Times New Roman" w:cs="Times New Roman"/>
          <w:szCs w:val="22"/>
        </w:rPr>
        <w:lastRenderedPageBreak/>
        <w:t>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DF25AE">
        <w:rPr>
          <w:rFonts w:ascii="Times New Roman" w:hAnsi="Times New Roman" w:cs="Times New Roman"/>
          <w:szCs w:val="22"/>
        </w:rPr>
        <w:t>4</w:t>
      </w:r>
      <w:r w:rsidR="00DF25AE" w:rsidRPr="00665738">
        <w:rPr>
          <w:rFonts w:ascii="Times New Roman" w:hAnsi="Times New Roman" w:cs="Times New Roman"/>
          <w:szCs w:val="22"/>
        </w:rPr>
        <w:t xml:space="preserve"> </w:t>
      </w:r>
      <w:r w:rsidRPr="00665738">
        <w:rPr>
          <w:rFonts w:ascii="Times New Roman" w:hAnsi="Times New Roman" w:cs="Times New Roman"/>
          <w:szCs w:val="22"/>
        </w:rPr>
        <w:t>(</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DF25AE">
        <w:rPr>
          <w:rFonts w:ascii="Times New Roman" w:hAnsi="Times New Roman" w:cs="Times New Roman"/>
          <w:szCs w:val="22"/>
        </w:rPr>
        <w:t>четырех</w:t>
      </w:r>
      <w:r w:rsidR="00DF25AE" w:rsidRPr="00665738">
        <w:rPr>
          <w:rFonts w:ascii="Times New Roman" w:hAnsi="Times New Roman" w:cs="Times New Roman"/>
          <w:szCs w:val="22"/>
        </w:rPr>
        <w:t xml:space="preserve"> </w:t>
      </w:r>
      <w:r w:rsidRPr="00665738">
        <w:rPr>
          <w:rFonts w:ascii="Times New Roman" w:hAnsi="Times New Roman" w:cs="Times New Roman"/>
          <w:szCs w:val="22"/>
        </w:rPr>
        <w:t>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 xml:space="preserve">3) расходы специализированного депозитария по оплате услуг других депозитариев, </w:t>
      </w:r>
      <w:r w:rsidRPr="004545CA">
        <w:rPr>
          <w:rFonts w:ascii="Times New Roman" w:hAnsi="Times New Roman" w:cs="Times New Roman"/>
        </w:rPr>
        <w:lastRenderedPageBreak/>
        <w:t>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745054" w:rsidRPr="00745054">
        <w:rPr>
          <w:rFonts w:ascii="Times New Roman" w:hAnsi="Times New Roman" w:cs="Times New Roman"/>
          <w:szCs w:val="22"/>
        </w:rPr>
        <w:t xml:space="preserve">0,6 (Ноль целых </w:t>
      </w:r>
      <w:r w:rsidR="00745054" w:rsidRPr="00745054">
        <w:rPr>
          <w:rFonts w:ascii="Times New Roman" w:hAnsi="Times New Roman" w:cs="Times New Roman"/>
          <w:szCs w:val="22"/>
        </w:rPr>
        <w:lastRenderedPageBreak/>
        <w:t xml:space="preserve">шесть десятых) процента </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BD289A" w:rsidRPr="00766468">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BD289A" w:rsidRPr="00766468">
        <w:rPr>
          <w:rFonts w:ascii="Times New Roman" w:hAnsi="Times New Roman" w:cs="Times New Roman"/>
          <w:szCs w:val="22"/>
        </w:rPr>
        <w:t xml:space="preserve">, указанного в пункте 21 </w:t>
      </w:r>
      <w:r w:rsidR="00B75D9C" w:rsidRPr="007C5A33">
        <w:rPr>
          <w:rFonts w:ascii="Times New Roman" w:hAnsi="Times New Roman" w:cs="Times New Roman"/>
          <w:szCs w:val="22"/>
        </w:rPr>
        <w:t xml:space="preserve">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lastRenderedPageBreak/>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687955" w:rsidRDefault="00362878" w:rsidP="00766468">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w:t>
      </w:r>
      <w:r w:rsidR="003D6635">
        <w:rPr>
          <w:rFonts w:ascii="Times New Roman" w:eastAsia="Times New Roman" w:hAnsi="Times New Roman" w:cs="Times New Roman"/>
          <w:lang w:eastAsia="ru-RU"/>
        </w:rPr>
        <w:t xml:space="preserve"> по финансам</w:t>
      </w:r>
    </w:p>
    <w:p w:rsidR="00687955" w:rsidRDefault="005D69C5" w:rsidP="00766468">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362878">
        <w:rPr>
          <w:rFonts w:ascii="Times New Roman" w:eastAsia="Times New Roman" w:hAnsi="Times New Roman" w:cs="Times New Roman"/>
          <w:lang w:eastAsia="ru-RU"/>
        </w:rPr>
        <w:t>Коньшина</w:t>
      </w:r>
      <w:proofErr w:type="spellEnd"/>
      <w:r w:rsidR="00362878" w:rsidRPr="00C370DD">
        <w:rPr>
          <w:rFonts w:ascii="Times New Roman" w:eastAsia="Times New Roman" w:hAnsi="Times New Roman" w:cs="Times New Roman"/>
          <w:lang w:eastAsia="ru-RU"/>
        </w:rPr>
        <w:t xml:space="preserve"> </w:t>
      </w:r>
      <w:r w:rsidR="00362878">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362878">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bookmarkStart w:id="25" w:name="_GoBack"/>
      <w:bookmarkEnd w:id="25"/>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6A74C6" w:rsidRPr="00766468" w:rsidRDefault="006A74C6" w:rsidP="006A74C6">
      <w:pPr>
        <w:spacing w:before="45" w:after="45" w:line="240" w:lineRule="auto"/>
        <w:jc w:val="right"/>
        <w:rPr>
          <w:rFonts w:ascii="Times New Roman" w:eastAsia="Times New Roman" w:hAnsi="Times New Roman" w:cs="Times New Roman"/>
          <w:sz w:val="20"/>
          <w:lang w:eastAsia="ru-RU"/>
        </w:rPr>
      </w:pPr>
      <w:r w:rsidRPr="00766468">
        <w:rPr>
          <w:rFonts w:ascii="Times New Roman" w:eastAsia="Times New Roman" w:hAnsi="Times New Roman" w:cs="Times New Roman"/>
          <w:sz w:val="20"/>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AF4F01"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A900F6">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285280"/>
      <w:docPartObj>
        <w:docPartGallery w:val="Page Numbers (Bottom of Page)"/>
        <w:docPartUnique/>
      </w:docPartObj>
    </w:sdtPr>
    <w:sdtEndPr>
      <w:rPr>
        <w:noProof/>
      </w:rPr>
    </w:sdtEndPr>
    <w:sdtContent>
      <w:p w:rsidR="00A900F6" w:rsidRDefault="006D3B38">
        <w:pPr>
          <w:pStyle w:val="af4"/>
          <w:jc w:val="center"/>
        </w:pPr>
        <w:r>
          <w:fldChar w:fldCharType="begin"/>
        </w:r>
        <w:r w:rsidR="00A900F6">
          <w:instrText xml:space="preserve"> PAGE   \* MERGEFORMAT </w:instrText>
        </w:r>
        <w:r>
          <w:fldChar w:fldCharType="separate"/>
        </w:r>
        <w:r w:rsidR="00352E42">
          <w:rPr>
            <w:noProof/>
          </w:rPr>
          <w:t>29</w:t>
        </w:r>
        <w:r>
          <w:rPr>
            <w:noProof/>
          </w:rPr>
          <w:fldChar w:fldCharType="end"/>
        </w:r>
      </w:p>
    </w:sdtContent>
  </w:sdt>
  <w:p w:rsidR="00A900F6" w:rsidRDefault="00A900F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2053"/>
    <w:rsid w:val="0001479A"/>
    <w:rsid w:val="00024B43"/>
    <w:rsid w:val="00036055"/>
    <w:rsid w:val="00040671"/>
    <w:rsid w:val="00043DFD"/>
    <w:rsid w:val="00044F62"/>
    <w:rsid w:val="000463DD"/>
    <w:rsid w:val="000525E0"/>
    <w:rsid w:val="0005611C"/>
    <w:rsid w:val="00056F3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32F43"/>
    <w:rsid w:val="001337F7"/>
    <w:rsid w:val="00141C28"/>
    <w:rsid w:val="00152827"/>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C5D79"/>
    <w:rsid w:val="001D29CD"/>
    <w:rsid w:val="001D31E2"/>
    <w:rsid w:val="001D4C64"/>
    <w:rsid w:val="001E1D38"/>
    <w:rsid w:val="001E560D"/>
    <w:rsid w:val="0020309B"/>
    <w:rsid w:val="0020558C"/>
    <w:rsid w:val="002064EE"/>
    <w:rsid w:val="002075CB"/>
    <w:rsid w:val="002211EE"/>
    <w:rsid w:val="002227D3"/>
    <w:rsid w:val="00226427"/>
    <w:rsid w:val="002264D6"/>
    <w:rsid w:val="00234959"/>
    <w:rsid w:val="002457BD"/>
    <w:rsid w:val="0024782B"/>
    <w:rsid w:val="0025471A"/>
    <w:rsid w:val="0025636D"/>
    <w:rsid w:val="00260831"/>
    <w:rsid w:val="002637F7"/>
    <w:rsid w:val="00263D32"/>
    <w:rsid w:val="002714BF"/>
    <w:rsid w:val="002857B3"/>
    <w:rsid w:val="002B3B61"/>
    <w:rsid w:val="002C4201"/>
    <w:rsid w:val="002D4751"/>
    <w:rsid w:val="002E1569"/>
    <w:rsid w:val="002E5F43"/>
    <w:rsid w:val="002E6689"/>
    <w:rsid w:val="002F00AB"/>
    <w:rsid w:val="002F3E8F"/>
    <w:rsid w:val="002F48E5"/>
    <w:rsid w:val="002F6063"/>
    <w:rsid w:val="00303207"/>
    <w:rsid w:val="00305655"/>
    <w:rsid w:val="00311A30"/>
    <w:rsid w:val="00313B7D"/>
    <w:rsid w:val="0033774F"/>
    <w:rsid w:val="003434F9"/>
    <w:rsid w:val="0034664B"/>
    <w:rsid w:val="00346CB5"/>
    <w:rsid w:val="00352E42"/>
    <w:rsid w:val="00353AF0"/>
    <w:rsid w:val="0036006D"/>
    <w:rsid w:val="00362878"/>
    <w:rsid w:val="00377B1E"/>
    <w:rsid w:val="00380EF9"/>
    <w:rsid w:val="003843CB"/>
    <w:rsid w:val="00385A95"/>
    <w:rsid w:val="0039308D"/>
    <w:rsid w:val="003B2AD2"/>
    <w:rsid w:val="003B3ACD"/>
    <w:rsid w:val="003D3B43"/>
    <w:rsid w:val="003D6635"/>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A784A"/>
    <w:rsid w:val="004C1BA3"/>
    <w:rsid w:val="004C2450"/>
    <w:rsid w:val="004D10DC"/>
    <w:rsid w:val="004D64A0"/>
    <w:rsid w:val="004E00DB"/>
    <w:rsid w:val="004E0AEA"/>
    <w:rsid w:val="004F1DC2"/>
    <w:rsid w:val="005010B0"/>
    <w:rsid w:val="0050567F"/>
    <w:rsid w:val="00511ED4"/>
    <w:rsid w:val="0052058D"/>
    <w:rsid w:val="00525E6F"/>
    <w:rsid w:val="0053011F"/>
    <w:rsid w:val="00536EB4"/>
    <w:rsid w:val="0055151D"/>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5F651B"/>
    <w:rsid w:val="00601DC8"/>
    <w:rsid w:val="00615D27"/>
    <w:rsid w:val="0061636F"/>
    <w:rsid w:val="00616F76"/>
    <w:rsid w:val="00624BB1"/>
    <w:rsid w:val="00640D90"/>
    <w:rsid w:val="006610CC"/>
    <w:rsid w:val="006618BD"/>
    <w:rsid w:val="00661F05"/>
    <w:rsid w:val="00663E63"/>
    <w:rsid w:val="00665738"/>
    <w:rsid w:val="0066634C"/>
    <w:rsid w:val="00666693"/>
    <w:rsid w:val="006768FB"/>
    <w:rsid w:val="006772C4"/>
    <w:rsid w:val="006843A8"/>
    <w:rsid w:val="00684B8C"/>
    <w:rsid w:val="00685058"/>
    <w:rsid w:val="006868B4"/>
    <w:rsid w:val="00687955"/>
    <w:rsid w:val="006936B8"/>
    <w:rsid w:val="006A00BC"/>
    <w:rsid w:val="006A6857"/>
    <w:rsid w:val="006A74C6"/>
    <w:rsid w:val="006B1EF3"/>
    <w:rsid w:val="006B52E8"/>
    <w:rsid w:val="006B6D25"/>
    <w:rsid w:val="006C378F"/>
    <w:rsid w:val="006C4653"/>
    <w:rsid w:val="006D0EFF"/>
    <w:rsid w:val="006D3B38"/>
    <w:rsid w:val="006E047F"/>
    <w:rsid w:val="006E74D4"/>
    <w:rsid w:val="006F0D16"/>
    <w:rsid w:val="006F7290"/>
    <w:rsid w:val="007036D9"/>
    <w:rsid w:val="00704C3E"/>
    <w:rsid w:val="00705D62"/>
    <w:rsid w:val="00706C14"/>
    <w:rsid w:val="00726D25"/>
    <w:rsid w:val="00740897"/>
    <w:rsid w:val="00745054"/>
    <w:rsid w:val="00764081"/>
    <w:rsid w:val="00764EBE"/>
    <w:rsid w:val="00766468"/>
    <w:rsid w:val="00767B8E"/>
    <w:rsid w:val="00770A83"/>
    <w:rsid w:val="00797FF5"/>
    <w:rsid w:val="007A0D48"/>
    <w:rsid w:val="007A67F2"/>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621C"/>
    <w:rsid w:val="00862335"/>
    <w:rsid w:val="00862CEC"/>
    <w:rsid w:val="0087717D"/>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900F6"/>
    <w:rsid w:val="00AA3E69"/>
    <w:rsid w:val="00AB0FFB"/>
    <w:rsid w:val="00AB4B54"/>
    <w:rsid w:val="00AC09B9"/>
    <w:rsid w:val="00AC37C8"/>
    <w:rsid w:val="00AE1395"/>
    <w:rsid w:val="00AE6252"/>
    <w:rsid w:val="00AE7E57"/>
    <w:rsid w:val="00AF3D3F"/>
    <w:rsid w:val="00AF4F01"/>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289A"/>
    <w:rsid w:val="00BD3CA7"/>
    <w:rsid w:val="00BD77AF"/>
    <w:rsid w:val="00BE5EC1"/>
    <w:rsid w:val="00BF026D"/>
    <w:rsid w:val="00C00A67"/>
    <w:rsid w:val="00C01C29"/>
    <w:rsid w:val="00C02495"/>
    <w:rsid w:val="00C02C38"/>
    <w:rsid w:val="00C05188"/>
    <w:rsid w:val="00C10EA3"/>
    <w:rsid w:val="00C15290"/>
    <w:rsid w:val="00C155A8"/>
    <w:rsid w:val="00C17552"/>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C4DFB"/>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85911"/>
    <w:rsid w:val="00DC1D8D"/>
    <w:rsid w:val="00DC6B5B"/>
    <w:rsid w:val="00DE2E47"/>
    <w:rsid w:val="00DE7805"/>
    <w:rsid w:val="00DE7FB7"/>
    <w:rsid w:val="00DF25AE"/>
    <w:rsid w:val="00E01725"/>
    <w:rsid w:val="00E07A62"/>
    <w:rsid w:val="00E1487B"/>
    <w:rsid w:val="00E23325"/>
    <w:rsid w:val="00E26696"/>
    <w:rsid w:val="00E269AE"/>
    <w:rsid w:val="00E62E58"/>
    <w:rsid w:val="00E633FF"/>
    <w:rsid w:val="00E634EF"/>
    <w:rsid w:val="00E6518C"/>
    <w:rsid w:val="00E71298"/>
    <w:rsid w:val="00E75BD9"/>
    <w:rsid w:val="00E77868"/>
    <w:rsid w:val="00E833A5"/>
    <w:rsid w:val="00E9721A"/>
    <w:rsid w:val="00EA0FF3"/>
    <w:rsid w:val="00EA2B31"/>
    <w:rsid w:val="00EA2E6C"/>
    <w:rsid w:val="00EB3F89"/>
    <w:rsid w:val="00EB4468"/>
    <w:rsid w:val="00EC007E"/>
    <w:rsid w:val="00EC5099"/>
    <w:rsid w:val="00EE62EB"/>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A900F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900F6"/>
  </w:style>
  <w:style w:type="paragraph" w:styleId="af4">
    <w:name w:val="footer"/>
    <w:basedOn w:val="a"/>
    <w:link w:val="af5"/>
    <w:uiPriority w:val="99"/>
    <w:unhideWhenUsed/>
    <w:rsid w:val="00A900F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90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AFCC-BDD0-43D1-858F-B3FE5BF54152}"/>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424059A1-7962-4A63-8C18-80E86615E9F1}"/>
</file>

<file path=customXml/itemProps4.xml><?xml version="1.0" encoding="utf-8"?>
<ds:datastoreItem xmlns:ds="http://schemas.openxmlformats.org/officeDocument/2006/customXml" ds:itemID="{F1AE98A5-F637-4D4E-B7B6-7BC4D1B498D4}"/>
</file>

<file path=docProps/app.xml><?xml version="1.0" encoding="utf-8"?>
<Properties xmlns="http://schemas.openxmlformats.org/officeDocument/2006/extended-properties" xmlns:vt="http://schemas.openxmlformats.org/officeDocument/2006/docPropsVTypes">
  <Template>Normal.dotm</Template>
  <TotalTime>2</TotalTime>
  <Pages>29</Pages>
  <Words>16002</Words>
  <Characters>91215</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2021-03-25T14:33:00Z</dcterms:created>
  <dcterms:modified xsi:type="dcterms:W3CDTF">2021-03-25T14:33:00Z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