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413982" w:rsidRDefault="00E1365D"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E1365D"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413982">
        <w:rPr>
          <w:bCs/>
          <w:sz w:val="22"/>
          <w:szCs w:val="22"/>
          <w:lang w:val="ru-RU"/>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59195A"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E1365D">
        <w:rPr>
          <w:bCs/>
          <w:sz w:val="22"/>
          <w:szCs w:val="22"/>
          <w:lang w:val="ru-RU"/>
        </w:rPr>
        <w:t>Коньшина</w:t>
      </w:r>
      <w:proofErr w:type="spellEnd"/>
      <w:r w:rsidR="00E1365D" w:rsidRPr="00623270">
        <w:rPr>
          <w:bCs/>
          <w:sz w:val="22"/>
          <w:szCs w:val="22"/>
          <w:lang w:val="ru-RU"/>
        </w:rPr>
        <w:t xml:space="preserve"> </w:t>
      </w:r>
      <w:r w:rsidR="00E1365D">
        <w:rPr>
          <w:bCs/>
          <w:sz w:val="22"/>
          <w:szCs w:val="22"/>
          <w:lang w:val="ru-RU"/>
        </w:rPr>
        <w:t>О</w:t>
      </w:r>
      <w:r w:rsidRPr="00623270">
        <w:rPr>
          <w:bCs/>
          <w:sz w:val="22"/>
          <w:szCs w:val="22"/>
          <w:lang w:val="ru-RU"/>
        </w:rPr>
        <w:t xml:space="preserve">. </w:t>
      </w:r>
      <w:r w:rsidR="00E1365D">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2C2E7E" w:rsidRPr="002C2E7E">
        <w:rPr>
          <w:rFonts w:ascii="Times New Roman" w:hAnsi="Times New Roman"/>
          <w:b/>
          <w:bCs/>
          <w:sz w:val="24"/>
          <w:szCs w:val="24"/>
        </w:rPr>
        <w:t>АТОН – Цифровое будущее</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2C2E7E" w:rsidRPr="002C2E7E">
        <w:rPr>
          <w:rFonts w:ascii="Times New Roman" w:hAnsi="Times New Roman" w:cs="Times New Roman"/>
          <w:szCs w:val="22"/>
        </w:rPr>
        <w:t>АТОН – Цифровое будущее</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2C2E7E" w:rsidRPr="002C2E7E">
        <w:rPr>
          <w:rFonts w:ascii="Times New Roman" w:hAnsi="Times New Roman" w:cs="Times New Roman"/>
          <w:szCs w:val="22"/>
        </w:rPr>
        <w:t>АТОН – Цифровое будущее</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994DE5" w:rsidRPr="00994DE5">
        <w:rPr>
          <w:rFonts w:ascii="Times New Roman" w:hAnsi="Times New Roman" w:cs="Times New Roman"/>
          <w:szCs w:val="22"/>
        </w:rPr>
        <w:t>iShares</w:t>
      </w:r>
      <w:proofErr w:type="spellEnd"/>
      <w:r w:rsidR="00994DE5" w:rsidRPr="00994DE5">
        <w:rPr>
          <w:rFonts w:ascii="Times New Roman" w:hAnsi="Times New Roman" w:cs="Times New Roman"/>
          <w:szCs w:val="22"/>
        </w:rPr>
        <w:t xml:space="preserve"> PHLX </w:t>
      </w:r>
      <w:proofErr w:type="spellStart"/>
      <w:r w:rsidR="00994DE5" w:rsidRPr="00994DE5">
        <w:rPr>
          <w:rFonts w:ascii="Times New Roman" w:hAnsi="Times New Roman" w:cs="Times New Roman"/>
          <w:szCs w:val="22"/>
        </w:rPr>
        <w:t>Semiconductor</w:t>
      </w:r>
      <w:proofErr w:type="spellEnd"/>
      <w:r w:rsidR="00994DE5" w:rsidRPr="00994DE5">
        <w:rPr>
          <w:rFonts w:ascii="Times New Roman" w:hAnsi="Times New Roman" w:cs="Times New Roman"/>
          <w:szCs w:val="22"/>
        </w:rPr>
        <w:t xml:space="preserve"> ETF, ISIN US4642875235</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3D4260">
        <w:rPr>
          <w:rFonts w:ascii="Times New Roman" w:eastAsia="Times New Roman" w:hAnsi="Times New Roman" w:cs="Times New Roman"/>
        </w:rPr>
        <w:t>7</w:t>
      </w:r>
      <w:r w:rsidR="003D4260"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6B71B7"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6B71B7"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6B71B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6B71B7" w:rsidRPr="006215A1" w:rsidRDefault="006B71B7" w:rsidP="006B71B7">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6B71B7" w:rsidRPr="006215A1" w:rsidRDefault="006B71B7" w:rsidP="006B71B7">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6B71B7" w:rsidRPr="006215A1" w:rsidRDefault="006B71B7" w:rsidP="006B71B7">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6B71B7">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3D0985">
        <w:rPr>
          <w:rFonts w:ascii="Times New Roman" w:eastAsia="Times New Roman" w:hAnsi="Times New Roman" w:cs="Times New Roman"/>
        </w:rPr>
        <w:t>ценным бумагам</w:t>
      </w:r>
      <w:r w:rsidR="003D0985"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3D0985">
        <w:rPr>
          <w:rFonts w:ascii="Times New Roman" w:eastAsia="Times New Roman" w:hAnsi="Times New Roman" w:cs="Times New Roman"/>
        </w:rPr>
        <w:t>,</w:t>
      </w:r>
      <w:r w:rsidR="003D0985"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8209AE" w:rsidRPr="0066178F">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8209AE" w:rsidRPr="0066178F">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6B71B7"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C462D2" w:rsidRPr="00C462D2">
        <w:rPr>
          <w:rFonts w:ascii="Times New Roman" w:hAnsi="Times New Roman" w:cs="Times New Roman"/>
          <w:szCs w:val="22"/>
        </w:rPr>
        <w:t>iShares</w:t>
      </w:r>
      <w:proofErr w:type="spellEnd"/>
      <w:r w:rsidR="00C462D2" w:rsidRPr="00C462D2">
        <w:rPr>
          <w:rFonts w:ascii="Times New Roman" w:hAnsi="Times New Roman" w:cs="Times New Roman"/>
          <w:szCs w:val="22"/>
        </w:rPr>
        <w:t xml:space="preserve"> PHLX </w:t>
      </w:r>
      <w:proofErr w:type="spellStart"/>
      <w:r w:rsidR="00C462D2" w:rsidRPr="00C462D2">
        <w:rPr>
          <w:rFonts w:ascii="Times New Roman" w:hAnsi="Times New Roman" w:cs="Times New Roman"/>
          <w:szCs w:val="22"/>
        </w:rPr>
        <w:t>Semiconductor</w:t>
      </w:r>
      <w:proofErr w:type="spellEnd"/>
      <w:r w:rsidR="00C462D2" w:rsidRPr="00C462D2">
        <w:rPr>
          <w:rFonts w:ascii="Times New Roman" w:hAnsi="Times New Roman" w:cs="Times New Roman"/>
          <w:szCs w:val="22"/>
        </w:rPr>
        <w:t xml:space="preserve"> ETF, ISIN US4642875235</w:t>
      </w:r>
      <w:r w:rsidR="00C24786">
        <w:rPr>
          <w:rFonts w:ascii="Times New Roman" w:hAnsi="Times New Roman" w:cs="Times New Roman"/>
          <w:szCs w:val="22"/>
        </w:rPr>
        <w:t>»</w:t>
      </w:r>
      <w:r w:rsidR="008209AE" w:rsidRPr="0066178F">
        <w:rPr>
          <w:rFonts w:ascii="Times New Roman" w:hAnsi="Times New Roman" w:cs="Times New Roman"/>
          <w:szCs w:val="22"/>
        </w:rPr>
        <w:t>, с отклонением не более чем на 5 (Пять) процентов в день.</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8209AE" w:rsidRPr="00624651">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8209AE" w:rsidRPr="00624651">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8209AE" w:rsidRPr="00624651">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8209AE" w:rsidRPr="0066178F">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8209AE" w:rsidRPr="0066178F">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8209AE" w:rsidRPr="00624651">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8209AE" w:rsidRPr="00624651">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8209AE" w:rsidRPr="0066178F">
        <w:rPr>
          <w:rFonts w:ascii="Times New Roman" w:hAnsi="Times New Roman" w:cs="Times New Roman"/>
          <w:szCs w:val="22"/>
        </w:rPr>
        <w:t>ое</w:t>
      </w:r>
      <w:r w:rsidR="00F3524E" w:rsidRPr="00F3524E">
        <w:rPr>
          <w:rFonts w:ascii="Times New Roman" w:hAnsi="Times New Roman" w:cs="Times New Roman"/>
          <w:szCs w:val="22"/>
        </w:rPr>
        <w:t xml:space="preserve"> </w:t>
      </w:r>
      <w:r w:rsidR="008209AE" w:rsidRPr="00624651">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8209AE" w:rsidRPr="0066178F">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8209AE" w:rsidRPr="00624651">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8209AE" w:rsidRPr="0066178F">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8209AE" w:rsidRPr="00624651">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8209AE" w:rsidRPr="00624651">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8209AE" w:rsidRPr="00624651">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8209AE" w:rsidRPr="00624651">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8209AE" w:rsidRPr="00624651">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8209AE" w:rsidRPr="0066178F">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8209AE" w:rsidRPr="0066178F">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8209AE" w:rsidRPr="0066178F">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 xml:space="preserve">ного депозитария, </w:t>
      </w:r>
      <w:r w:rsidR="003B2AD2">
        <w:rPr>
          <w:rFonts w:ascii="Times New Roman" w:hAnsi="Times New Roman" w:cs="Times New Roman"/>
          <w:szCs w:val="22"/>
        </w:rPr>
        <w:lastRenderedPageBreak/>
        <w:t>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8209AE" w:rsidRDefault="003D4260" w:rsidP="00624651">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8209AE" w:rsidRDefault="005D69C5" w:rsidP="00624651">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3D4260">
        <w:rPr>
          <w:rFonts w:ascii="Times New Roman" w:eastAsia="Times New Roman" w:hAnsi="Times New Roman" w:cs="Times New Roman"/>
          <w:lang w:eastAsia="ru-RU"/>
        </w:rPr>
        <w:t>Коньшина</w:t>
      </w:r>
      <w:proofErr w:type="spellEnd"/>
      <w:r w:rsidR="003D4260" w:rsidRPr="00C370DD">
        <w:rPr>
          <w:rFonts w:ascii="Times New Roman" w:eastAsia="Times New Roman" w:hAnsi="Times New Roman" w:cs="Times New Roman"/>
          <w:lang w:eastAsia="ru-RU"/>
        </w:rPr>
        <w:t xml:space="preserve"> </w:t>
      </w:r>
      <w:r w:rsidR="003D4260">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bookmarkStart w:id="25" w:name="_GoBack"/>
      <w:r w:rsidR="003D4260">
        <w:rPr>
          <w:rFonts w:ascii="Times New Roman" w:eastAsia="Times New Roman" w:hAnsi="Times New Roman" w:cs="Times New Roman"/>
          <w:lang w:eastAsia="ru-RU"/>
        </w:rPr>
        <w:t>Н</w:t>
      </w:r>
      <w:bookmarkEnd w:id="25"/>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24651">
      <w:pPr>
        <w:spacing w:after="0" w:line="240" w:lineRule="auto"/>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24651" w:rsidRDefault="00624651" w:rsidP="00624651">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624651">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1E" w:rsidRDefault="00EA5F1E" w:rsidP="00C50376">
      <w:pPr>
        <w:spacing w:after="0" w:line="240" w:lineRule="auto"/>
      </w:pPr>
      <w:r>
        <w:separator/>
      </w:r>
    </w:p>
  </w:endnote>
  <w:endnote w:type="continuationSeparator" w:id="0">
    <w:p w:rsidR="00EA5F1E" w:rsidRDefault="00EA5F1E"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59512"/>
      <w:docPartObj>
        <w:docPartGallery w:val="Page Numbers (Bottom of Page)"/>
        <w:docPartUnique/>
      </w:docPartObj>
    </w:sdtPr>
    <w:sdtEndPr>
      <w:rPr>
        <w:noProof/>
      </w:rPr>
    </w:sdtEndPr>
    <w:sdtContent>
      <w:p w:rsidR="00624651" w:rsidRDefault="00040AEC">
        <w:pPr>
          <w:pStyle w:val="af4"/>
          <w:jc w:val="center"/>
        </w:pPr>
        <w:r>
          <w:fldChar w:fldCharType="begin"/>
        </w:r>
        <w:r w:rsidR="00624651">
          <w:instrText xml:space="preserve"> PAGE   \* MERGEFORMAT </w:instrText>
        </w:r>
        <w:r>
          <w:fldChar w:fldCharType="separate"/>
        </w:r>
        <w:r w:rsidR="000B0C0A">
          <w:rPr>
            <w:noProof/>
          </w:rPr>
          <w:t>29</w:t>
        </w:r>
        <w:r>
          <w:rPr>
            <w:noProof/>
          </w:rPr>
          <w:fldChar w:fldCharType="end"/>
        </w:r>
      </w:p>
    </w:sdtContent>
  </w:sdt>
  <w:p w:rsidR="00624651" w:rsidRDefault="0062465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1E" w:rsidRDefault="00EA5F1E" w:rsidP="00C50376">
      <w:pPr>
        <w:spacing w:after="0" w:line="240" w:lineRule="auto"/>
      </w:pPr>
      <w:r>
        <w:separator/>
      </w:r>
    </w:p>
  </w:footnote>
  <w:footnote w:type="continuationSeparator" w:id="0">
    <w:p w:rsidR="00EA5F1E" w:rsidRDefault="00EA5F1E" w:rsidP="00C50376">
      <w:pPr>
        <w:spacing w:after="0" w:line="240" w:lineRule="auto"/>
      </w:pPr>
      <w:r>
        <w:continuationSeparator/>
      </w:r>
    </w:p>
  </w:footnote>
  <w:footnote w:id="1">
    <w:p w:rsidR="00EA5F1E" w:rsidRDefault="00EA5F1E"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EA5F1E" w:rsidRDefault="00EA5F1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EA5F1E" w:rsidRDefault="00EA5F1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0AEC"/>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23E"/>
    <w:rsid w:val="00096E94"/>
    <w:rsid w:val="000A42E1"/>
    <w:rsid w:val="000B0C0A"/>
    <w:rsid w:val="000C04B8"/>
    <w:rsid w:val="000C78E5"/>
    <w:rsid w:val="000D0042"/>
    <w:rsid w:val="000D2569"/>
    <w:rsid w:val="000D56EC"/>
    <w:rsid w:val="000D6C75"/>
    <w:rsid w:val="000E3F84"/>
    <w:rsid w:val="000E426D"/>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B60AC"/>
    <w:rsid w:val="001C5D79"/>
    <w:rsid w:val="001D29CD"/>
    <w:rsid w:val="001D31E2"/>
    <w:rsid w:val="001E1D38"/>
    <w:rsid w:val="001E560D"/>
    <w:rsid w:val="0020309B"/>
    <w:rsid w:val="0020558C"/>
    <w:rsid w:val="002075CB"/>
    <w:rsid w:val="002211EE"/>
    <w:rsid w:val="002227D3"/>
    <w:rsid w:val="00226427"/>
    <w:rsid w:val="002264D6"/>
    <w:rsid w:val="00234959"/>
    <w:rsid w:val="002457BD"/>
    <w:rsid w:val="0024782B"/>
    <w:rsid w:val="0025471A"/>
    <w:rsid w:val="00260831"/>
    <w:rsid w:val="002637F7"/>
    <w:rsid w:val="00263D32"/>
    <w:rsid w:val="002714BF"/>
    <w:rsid w:val="002846AD"/>
    <w:rsid w:val="002857B3"/>
    <w:rsid w:val="002B3B61"/>
    <w:rsid w:val="002C2E7E"/>
    <w:rsid w:val="002C4201"/>
    <w:rsid w:val="002D4751"/>
    <w:rsid w:val="002E1569"/>
    <w:rsid w:val="002E5F43"/>
    <w:rsid w:val="002E6689"/>
    <w:rsid w:val="002E7F13"/>
    <w:rsid w:val="002F3E8F"/>
    <w:rsid w:val="002F48E5"/>
    <w:rsid w:val="002F6063"/>
    <w:rsid w:val="00303207"/>
    <w:rsid w:val="00305655"/>
    <w:rsid w:val="00311A30"/>
    <w:rsid w:val="00313B7D"/>
    <w:rsid w:val="0033774F"/>
    <w:rsid w:val="003434F9"/>
    <w:rsid w:val="0034664B"/>
    <w:rsid w:val="00346CB5"/>
    <w:rsid w:val="00353AF0"/>
    <w:rsid w:val="0036006D"/>
    <w:rsid w:val="00377B1E"/>
    <w:rsid w:val="00380EF9"/>
    <w:rsid w:val="003843CB"/>
    <w:rsid w:val="00385A95"/>
    <w:rsid w:val="00387B83"/>
    <w:rsid w:val="0039308D"/>
    <w:rsid w:val="003B2AD2"/>
    <w:rsid w:val="003B3ACD"/>
    <w:rsid w:val="003D0985"/>
    <w:rsid w:val="003D3B43"/>
    <w:rsid w:val="003D4260"/>
    <w:rsid w:val="003E7D31"/>
    <w:rsid w:val="003F18BB"/>
    <w:rsid w:val="003F3D07"/>
    <w:rsid w:val="00400278"/>
    <w:rsid w:val="00405140"/>
    <w:rsid w:val="00405C7A"/>
    <w:rsid w:val="00413982"/>
    <w:rsid w:val="004203BE"/>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C5C06"/>
    <w:rsid w:val="004D10DC"/>
    <w:rsid w:val="004D64A0"/>
    <w:rsid w:val="004E00DB"/>
    <w:rsid w:val="004E0AEA"/>
    <w:rsid w:val="004F1421"/>
    <w:rsid w:val="004F1DC2"/>
    <w:rsid w:val="005010B0"/>
    <w:rsid w:val="0050567F"/>
    <w:rsid w:val="00511ED4"/>
    <w:rsid w:val="0052058D"/>
    <w:rsid w:val="00525E6F"/>
    <w:rsid w:val="0053011F"/>
    <w:rsid w:val="00536EB4"/>
    <w:rsid w:val="005729F0"/>
    <w:rsid w:val="0059195A"/>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651"/>
    <w:rsid w:val="00624BB1"/>
    <w:rsid w:val="00640D90"/>
    <w:rsid w:val="0066178F"/>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B71B7"/>
    <w:rsid w:val="006C378F"/>
    <w:rsid w:val="006C4653"/>
    <w:rsid w:val="006D0EFF"/>
    <w:rsid w:val="006E047F"/>
    <w:rsid w:val="006E74D4"/>
    <w:rsid w:val="006F0D16"/>
    <w:rsid w:val="006F478D"/>
    <w:rsid w:val="006F7290"/>
    <w:rsid w:val="007036D9"/>
    <w:rsid w:val="00704C3E"/>
    <w:rsid w:val="00705D62"/>
    <w:rsid w:val="00706C14"/>
    <w:rsid w:val="00726D25"/>
    <w:rsid w:val="00740897"/>
    <w:rsid w:val="00764081"/>
    <w:rsid w:val="00764EBE"/>
    <w:rsid w:val="00767B8E"/>
    <w:rsid w:val="00770A83"/>
    <w:rsid w:val="00781F3E"/>
    <w:rsid w:val="00791B7F"/>
    <w:rsid w:val="007A0D48"/>
    <w:rsid w:val="007A67F2"/>
    <w:rsid w:val="007C56B3"/>
    <w:rsid w:val="007C5A33"/>
    <w:rsid w:val="007C732B"/>
    <w:rsid w:val="007D08A0"/>
    <w:rsid w:val="007E0301"/>
    <w:rsid w:val="007E47AA"/>
    <w:rsid w:val="007E7038"/>
    <w:rsid w:val="00802DBD"/>
    <w:rsid w:val="00812AE8"/>
    <w:rsid w:val="008148E9"/>
    <w:rsid w:val="008209AE"/>
    <w:rsid w:val="00822D9C"/>
    <w:rsid w:val="008246EC"/>
    <w:rsid w:val="00832D7A"/>
    <w:rsid w:val="00832DE2"/>
    <w:rsid w:val="00840BF9"/>
    <w:rsid w:val="00842A60"/>
    <w:rsid w:val="0084621C"/>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4DE5"/>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90C47"/>
    <w:rsid w:val="00AA3E69"/>
    <w:rsid w:val="00AA6DAE"/>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07C"/>
    <w:rsid w:val="00C05188"/>
    <w:rsid w:val="00C10EA3"/>
    <w:rsid w:val="00C15290"/>
    <w:rsid w:val="00C155A8"/>
    <w:rsid w:val="00C17552"/>
    <w:rsid w:val="00C24786"/>
    <w:rsid w:val="00C33BF8"/>
    <w:rsid w:val="00C370DD"/>
    <w:rsid w:val="00C40506"/>
    <w:rsid w:val="00C41A3D"/>
    <w:rsid w:val="00C44CDA"/>
    <w:rsid w:val="00C462D2"/>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76EAE"/>
    <w:rsid w:val="00D85911"/>
    <w:rsid w:val="00D90A71"/>
    <w:rsid w:val="00DC1D8D"/>
    <w:rsid w:val="00DE7805"/>
    <w:rsid w:val="00DE7FB7"/>
    <w:rsid w:val="00E07A62"/>
    <w:rsid w:val="00E1365D"/>
    <w:rsid w:val="00E1487B"/>
    <w:rsid w:val="00E23325"/>
    <w:rsid w:val="00E26696"/>
    <w:rsid w:val="00E269AE"/>
    <w:rsid w:val="00E62B10"/>
    <w:rsid w:val="00E633FF"/>
    <w:rsid w:val="00E634EF"/>
    <w:rsid w:val="00E6518C"/>
    <w:rsid w:val="00E71298"/>
    <w:rsid w:val="00E75BD9"/>
    <w:rsid w:val="00E77868"/>
    <w:rsid w:val="00E833A5"/>
    <w:rsid w:val="00E9721A"/>
    <w:rsid w:val="00EA0FF3"/>
    <w:rsid w:val="00EA2B31"/>
    <w:rsid w:val="00EA5F1E"/>
    <w:rsid w:val="00EB3F89"/>
    <w:rsid w:val="00EB4468"/>
    <w:rsid w:val="00EC007E"/>
    <w:rsid w:val="00EC5099"/>
    <w:rsid w:val="00EE62EB"/>
    <w:rsid w:val="00EE6FA9"/>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93DBF"/>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62465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24651"/>
  </w:style>
  <w:style w:type="paragraph" w:styleId="af4">
    <w:name w:val="footer"/>
    <w:basedOn w:val="a"/>
    <w:link w:val="af5"/>
    <w:uiPriority w:val="99"/>
    <w:unhideWhenUsed/>
    <w:rsid w:val="0062465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24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FCC-BDD0-43D1-858F-B3FE5BF54152}"/>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424059A1-7962-4A63-8C18-80E86615E9F1}"/>
</file>

<file path=customXml/itemProps4.xml><?xml version="1.0" encoding="utf-8"?>
<ds:datastoreItem xmlns:ds="http://schemas.openxmlformats.org/officeDocument/2006/customXml" ds:itemID="{5C341FD7-2210-4575-A594-62702CDDD3A6}"/>
</file>

<file path=docProps/app.xml><?xml version="1.0" encoding="utf-8"?>
<Properties xmlns="http://schemas.openxmlformats.org/officeDocument/2006/extended-properties" xmlns:vt="http://schemas.openxmlformats.org/officeDocument/2006/docPropsVTypes">
  <Template>Normal.dotm</Template>
  <TotalTime>1</TotalTime>
  <Pages>29</Pages>
  <Words>15770</Words>
  <Characters>89890</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2021-03-25T15:41:00Z</dcterms:created>
  <dcterms:modified xsi:type="dcterms:W3CDTF">2021-03-25T15:41:00Z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